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06ADB2EE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AE5BBB">
        <w:rPr>
          <w:rFonts w:eastAsia="PMingLiU" w:cs="Arial"/>
          <w:color w:val="000000" w:themeColor="text1"/>
          <w:sz w:val="22"/>
          <w:lang w:val="en-US" w:eastAsia="ja-JP"/>
        </w:rPr>
        <w:t>6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383317">
        <w:rPr>
          <w:lang w:val="en-US"/>
        </w:rPr>
        <w:t>2</w:t>
      </w:r>
      <w:r w:rsidR="00AE5BBB">
        <w:rPr>
          <w:lang w:val="en-US"/>
        </w:rPr>
        <w:t>30</w:t>
      </w:r>
      <w:r w:rsidR="00FD16D9">
        <w:rPr>
          <w:lang w:val="en-US"/>
        </w:rPr>
        <w:t>1610</w:t>
      </w:r>
    </w:p>
    <w:p w14:paraId="65F55581" w14:textId="22CC4B44" w:rsidR="008A22CF" w:rsidRPr="00C0585F" w:rsidRDefault="00AE5BBB" w:rsidP="008A22CF">
      <w:pPr>
        <w:pStyle w:val="3GPPHeader"/>
        <w:rPr>
          <w:lang w:val="en-US"/>
        </w:rPr>
      </w:pPr>
      <w:r>
        <w:rPr>
          <w:lang w:val="en-US"/>
        </w:rPr>
        <w:t>Athens</w:t>
      </w:r>
      <w:r w:rsidR="00383317">
        <w:rPr>
          <w:lang w:val="en-US"/>
        </w:rPr>
        <w:t xml:space="preserve">, </w:t>
      </w:r>
      <w:r>
        <w:rPr>
          <w:lang w:val="en-US"/>
        </w:rPr>
        <w:t>Greece</w:t>
      </w:r>
      <w:r w:rsidR="00837AD9" w:rsidRPr="00C0585F">
        <w:rPr>
          <w:lang w:val="en-US"/>
        </w:rPr>
        <w:t xml:space="preserve">, </w:t>
      </w:r>
      <w:r>
        <w:rPr>
          <w:lang w:val="en-US"/>
        </w:rPr>
        <w:t>Feb</w:t>
      </w:r>
      <w:r w:rsidR="00837AD9" w:rsidRPr="00C0585F">
        <w:rPr>
          <w:lang w:val="en-US"/>
        </w:rPr>
        <w:t xml:space="preserve"> </w:t>
      </w:r>
      <w:r>
        <w:rPr>
          <w:lang w:val="en-US"/>
        </w:rPr>
        <w:t>2</w:t>
      </w:r>
      <w:r w:rsidR="00F21F9A">
        <w:rPr>
          <w:lang w:val="en-US"/>
        </w:rPr>
        <w:t>7</w:t>
      </w:r>
      <w:r w:rsidRPr="00AE5BBB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DE3259" w:rsidRPr="00C0585F">
        <w:rPr>
          <w:lang w:val="en-US"/>
        </w:rPr>
        <w:t>–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March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3</w:t>
      </w:r>
      <w:r w:rsidRPr="00AE5BBB">
        <w:rPr>
          <w:vertAlign w:val="superscript"/>
          <w:lang w:val="en-US"/>
        </w:rPr>
        <w:t>rd</w:t>
      </w:r>
      <w:r w:rsidR="00837AD9" w:rsidRPr="00C0585F">
        <w:rPr>
          <w:lang w:val="en-US"/>
        </w:rPr>
        <w:t>, 202</w:t>
      </w:r>
      <w:r>
        <w:rPr>
          <w:lang w:val="en-US"/>
        </w:rPr>
        <w:t>3</w:t>
      </w:r>
    </w:p>
    <w:p w14:paraId="2D8C5D3B" w14:textId="77777777" w:rsidR="00837AD9" w:rsidRPr="00C0585F" w:rsidRDefault="00837AD9" w:rsidP="008A22CF">
      <w:pPr>
        <w:pStyle w:val="3GPPHeader"/>
        <w:rPr>
          <w:lang w:val="en-US"/>
        </w:rPr>
      </w:pPr>
    </w:p>
    <w:p w14:paraId="0FDE225D" w14:textId="11AEAE28" w:rsidR="008A22CF" w:rsidRPr="00A00C1C" w:rsidRDefault="008A22CF" w:rsidP="008A22CF">
      <w:pPr>
        <w:pStyle w:val="3GPPHeader"/>
        <w:rPr>
          <w:sz w:val="22"/>
          <w:lang w:val="en-US"/>
        </w:rPr>
      </w:pPr>
      <w:r w:rsidRPr="00A00C1C">
        <w:rPr>
          <w:sz w:val="22"/>
          <w:lang w:val="en-US"/>
        </w:rPr>
        <w:t>Agenda Item:</w:t>
      </w:r>
      <w:r w:rsidRPr="00A00C1C">
        <w:rPr>
          <w:sz w:val="22"/>
          <w:lang w:val="en-US"/>
        </w:rPr>
        <w:tab/>
      </w:r>
      <w:r w:rsidR="0050601C">
        <w:rPr>
          <w:sz w:val="22"/>
          <w:lang w:val="en-US"/>
        </w:rPr>
        <w:t>9.19.2.2.2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68ACC15F" w:rsidR="008A22CF" w:rsidRPr="001A5974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="0060526C">
        <w:rPr>
          <w:sz w:val="22"/>
          <w:lang w:val="en-US"/>
        </w:rPr>
        <w:t xml:space="preserve"> </w:t>
      </w:r>
      <w:r w:rsidR="0060526C">
        <w:rPr>
          <w:sz w:val="22"/>
          <w:lang w:val="en-US"/>
        </w:rPr>
        <w:tab/>
      </w:r>
      <w:r w:rsidR="0050601C" w:rsidRPr="0050601C">
        <w:rPr>
          <w:sz w:val="22"/>
          <w:lang w:val="en-US"/>
        </w:rPr>
        <w:t>Further discussion on the feasibility from UE aspect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0F260434" w14:textId="77777777" w:rsidR="004F360E" w:rsidRPr="004F360E" w:rsidRDefault="004F360E" w:rsidP="004F360E">
      <w:pPr>
        <w:rPr>
          <w:lang w:val="en-US"/>
        </w:rPr>
      </w:pPr>
      <w:bookmarkStart w:id="2" w:name="OLE_LINK13"/>
      <w:r w:rsidRPr="004F360E">
        <w:rPr>
          <w:lang w:val="en-US"/>
        </w:rPr>
        <w:t>In RAN4#105, the feasibility study of SBFD has been discussed and made a substantiate progress, and there are still some issues open in addition to agreements on Tx modelling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F360E" w:rsidRPr="004F22EE" w14:paraId="26F952E2" w14:textId="77777777" w:rsidTr="00801295">
        <w:tc>
          <w:tcPr>
            <w:tcW w:w="9350" w:type="dxa"/>
          </w:tcPr>
          <w:p w14:paraId="407BE51B" w14:textId="77777777" w:rsidR="004F360E" w:rsidRPr="004F22EE" w:rsidRDefault="004F360E" w:rsidP="00801295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432" w:hanging="432"/>
              <w:outlineLvl w:val="0"/>
              <w:rPr>
                <w:rFonts w:ascii="Arial" w:eastAsia="SimSun" w:hAnsi="Arial" w:cs="Times New Roman"/>
                <w:i/>
                <w:iCs/>
                <w:sz w:val="16"/>
                <w:szCs w:val="6"/>
                <w:highlight w:val="yellow"/>
                <w:lang w:eastAsia="ja-JP"/>
              </w:rPr>
            </w:pPr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highlight w:val="yellow"/>
                <w:lang w:eastAsia="ja-JP"/>
              </w:rPr>
              <w:lastRenderedPageBreak/>
              <w:t xml:space="preserve">Issue 2-1-3: </w:t>
            </w:r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highlight w:val="yellow"/>
                <w:lang w:eastAsia="en-US"/>
              </w:rPr>
              <w:t>Receiver sub-band selectivity (co-channel)</w:t>
            </w:r>
          </w:p>
          <w:p w14:paraId="6C1108B5" w14:textId="77777777" w:rsidR="004F360E" w:rsidRPr="004F22EE" w:rsidRDefault="004F360E" w:rsidP="00801295">
            <w:pPr>
              <w:keepNext/>
              <w:keepLines/>
              <w:numPr>
                <w:ilvl w:val="1"/>
                <w:numId w:val="0"/>
              </w:numPr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</w:pPr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  <w:t>Issue 2-1-3.1: Configuring the UE channel bandwidth to be a sub-band for selectivity</w:t>
            </w:r>
          </w:p>
          <w:p w14:paraId="64880807" w14:textId="77777777" w:rsidR="004F360E" w:rsidRPr="004F22EE" w:rsidRDefault="004F360E" w:rsidP="00801295">
            <w:pPr>
              <w:spacing w:after="180"/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  <w:t>This agreement was made in the 11/15 BS session</w:t>
            </w:r>
          </w:p>
          <w:p w14:paraId="51A8F38C" w14:textId="77777777" w:rsidR="004F360E" w:rsidRPr="004F22EE" w:rsidRDefault="004F360E" w:rsidP="00801295">
            <w:pPr>
              <w:spacing w:after="120"/>
              <w:ind w:left="568"/>
              <w:rPr>
                <w:rFonts w:ascii="Times New Roman" w:eastAsia="SimSun" w:hAnsi="Times New Roman" w:cs="Times New Roman"/>
                <w:b/>
                <w:bCs/>
                <w:i/>
                <w:iCs/>
                <w:sz w:val="16"/>
                <w:szCs w:val="6"/>
                <w:u w:val="single"/>
                <w:lang w:eastAsia="en-US"/>
              </w:rPr>
            </w:pPr>
            <w:r w:rsidRPr="004F22EE">
              <w:rPr>
                <w:rFonts w:ascii="Times New Roman" w:eastAsia="SimSun" w:hAnsi="Times New Roman" w:cs="Times New Roman" w:hint="eastAsia"/>
                <w:b/>
                <w:bCs/>
                <w:i/>
                <w:iCs/>
                <w:sz w:val="16"/>
                <w:szCs w:val="6"/>
                <w:u w:val="single"/>
                <w:lang w:eastAsia="en-US"/>
              </w:rPr>
              <w:t>Agreement</w:t>
            </w:r>
            <w:r w:rsidRPr="004F22EE">
              <w:rPr>
                <w:rFonts w:ascii="Times New Roman" w:eastAsia="SimSun" w:hAnsi="Times New Roman" w:cs="Times New Roman"/>
                <w:b/>
                <w:bCs/>
                <w:i/>
                <w:iCs/>
                <w:sz w:val="16"/>
                <w:szCs w:val="6"/>
                <w:u w:val="single"/>
                <w:lang w:eastAsia="en-US"/>
              </w:rPr>
              <w:t xml:space="preserve"> from 11/15 BS session </w:t>
            </w:r>
          </w:p>
          <w:p w14:paraId="59941720" w14:textId="77777777" w:rsidR="004F360E" w:rsidRPr="004F22EE" w:rsidRDefault="004F360E" w:rsidP="004F360E">
            <w:pPr>
              <w:numPr>
                <w:ilvl w:val="1"/>
                <w:numId w:val="7"/>
              </w:numPr>
              <w:spacing w:after="120" w:line="240" w:lineRule="auto"/>
              <w:ind w:left="2224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For legacy UE: Companies are encouraged to bring more analysis on the achievable selectivity performance considering FFT operation </w:t>
            </w:r>
          </w:p>
          <w:p w14:paraId="21481B97" w14:textId="77777777" w:rsidR="004F360E" w:rsidRPr="004F22EE" w:rsidRDefault="004F360E" w:rsidP="004F360E">
            <w:pPr>
              <w:numPr>
                <w:ilvl w:val="2"/>
                <w:numId w:val="7"/>
              </w:numPr>
              <w:spacing w:after="120" w:line="240" w:lineRule="auto"/>
              <w:ind w:left="2944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The analysis shall </w:t>
            </w:r>
            <w:proofErr w:type="gramStart"/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>be based on the assumption</w:t>
            </w:r>
            <w:proofErr w:type="gramEnd"/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 that t</w:t>
            </w:r>
            <w:r w:rsidRPr="004F22EE">
              <w:rPr>
                <w:rFonts w:ascii="Times New Roman" w:eastAsia="MS Mincho" w:hAnsi="Times New Roman" w:cs="Times New Roman" w:hint="eastAsia"/>
                <w:i/>
                <w:iCs/>
                <w:sz w:val="16"/>
                <w:szCs w:val="6"/>
                <w:lang w:eastAsia="en-US"/>
              </w:rPr>
              <w:t>here</w:t>
            </w: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 </w:t>
            </w:r>
            <w:r w:rsidRPr="004F22EE">
              <w:rPr>
                <w:rFonts w:ascii="Times New Roman" w:eastAsia="MS Mincho" w:hAnsi="Times New Roman" w:cs="Times New Roman" w:hint="eastAsia"/>
                <w:i/>
                <w:iCs/>
                <w:sz w:val="16"/>
                <w:szCs w:val="6"/>
                <w:lang w:eastAsia="en-US"/>
              </w:rPr>
              <w:t>is</w:t>
            </w: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 no impact on legacy UE implementation. </w:t>
            </w:r>
          </w:p>
          <w:p w14:paraId="66573816" w14:textId="77777777" w:rsidR="004F360E" w:rsidRPr="004F22EE" w:rsidRDefault="004F360E" w:rsidP="004F360E">
            <w:pPr>
              <w:numPr>
                <w:ilvl w:val="1"/>
                <w:numId w:val="7"/>
              </w:numPr>
              <w:spacing w:after="120" w:line="240" w:lineRule="auto"/>
              <w:ind w:left="2224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For </w:t>
            </w:r>
            <w:r w:rsidRPr="004F22EE">
              <w:rPr>
                <w:rFonts w:ascii="Times New Roman" w:eastAsia="MS Mincho" w:hAnsi="Times New Roman" w:cs="Times New Roman" w:hint="eastAsia"/>
                <w:i/>
                <w:iCs/>
                <w:sz w:val="16"/>
                <w:szCs w:val="6"/>
                <w:lang w:eastAsia="en-US"/>
              </w:rPr>
              <w:t>new</w:t>
            </w: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 </w:t>
            </w:r>
            <w:r w:rsidRPr="004F22EE">
              <w:rPr>
                <w:rFonts w:ascii="Times New Roman" w:eastAsia="MS Mincho" w:hAnsi="Times New Roman" w:cs="Times New Roman" w:hint="eastAsia"/>
                <w:i/>
                <w:iCs/>
                <w:sz w:val="16"/>
                <w:szCs w:val="6"/>
                <w:lang w:eastAsia="en-US"/>
              </w:rPr>
              <w:t>SBFD</w:t>
            </w: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 capable UE, further analysis of the possibility to improve selectivity performance under the assumption that UE channel bandwidth </w:t>
            </w:r>
            <w:proofErr w:type="gramStart"/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>not equal</w:t>
            </w:r>
            <w:proofErr w:type="gramEnd"/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 the sub-band bandwidth.</w:t>
            </w:r>
          </w:p>
          <w:p w14:paraId="3B0F81BA" w14:textId="77777777" w:rsidR="004F360E" w:rsidRPr="004F22EE" w:rsidRDefault="004F360E" w:rsidP="00801295">
            <w:pPr>
              <w:keepNext/>
              <w:keepLines/>
              <w:numPr>
                <w:ilvl w:val="1"/>
                <w:numId w:val="0"/>
              </w:numPr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</w:pPr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  <w:t>Issue 2-1-3.2: Receiver sub-band selectivity</w:t>
            </w:r>
          </w:p>
          <w:p w14:paraId="5CF09F53" w14:textId="77777777" w:rsidR="004F360E" w:rsidRPr="004F22EE" w:rsidRDefault="004F360E" w:rsidP="00801295">
            <w:pPr>
              <w:spacing w:after="180"/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  <w:t>Various proposals related</w:t>
            </w:r>
          </w:p>
          <w:p w14:paraId="161D1C6E" w14:textId="77777777" w:rsidR="004F360E" w:rsidRPr="004F22EE" w:rsidRDefault="004F360E" w:rsidP="00801295">
            <w:pPr>
              <w:spacing w:after="180"/>
              <w:ind w:left="284"/>
              <w:rPr>
                <w:rFonts w:ascii="Times New Roman" w:eastAsia="SimSun" w:hAnsi="Times New Roman" w:cs="Times New Roman"/>
                <w:b/>
                <w:bCs/>
                <w:i/>
                <w:iCs/>
                <w:sz w:val="16"/>
                <w:szCs w:val="6"/>
                <w:u w:val="single"/>
                <w:lang w:eastAsia="ja-JP"/>
              </w:rPr>
            </w:pPr>
            <w:r w:rsidRPr="004F22EE">
              <w:rPr>
                <w:rFonts w:ascii="Times New Roman" w:eastAsia="SimSun" w:hAnsi="Times New Roman" w:cs="Times New Roman"/>
                <w:b/>
                <w:bCs/>
                <w:i/>
                <w:iCs/>
                <w:sz w:val="16"/>
                <w:szCs w:val="6"/>
                <w:u w:val="single"/>
                <w:lang w:eastAsia="ja-JP"/>
              </w:rPr>
              <w:t>Proposed agreement:</w:t>
            </w:r>
          </w:p>
          <w:p w14:paraId="75D8634D" w14:textId="77777777" w:rsidR="004F360E" w:rsidRPr="004F22EE" w:rsidRDefault="004F360E" w:rsidP="004F360E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004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</w:rPr>
              <w:t>For legacy UE: For receiver sub-band selectivity, no rejection/attenuation due to RF/BB filtering is assumed on interference in adjacent sub-band as legacy UEs do not operate this way.</w:t>
            </w:r>
          </w:p>
          <w:p w14:paraId="09667BC9" w14:textId="77777777" w:rsidR="004F360E" w:rsidRPr="004F22EE" w:rsidRDefault="004F360E" w:rsidP="004F360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>Use typical model for UE selectivity value</w:t>
            </w:r>
          </w:p>
          <w:p w14:paraId="3BA77668" w14:textId="77777777" w:rsidR="004F360E" w:rsidRPr="004F22EE" w:rsidRDefault="004F360E" w:rsidP="004F360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>The selectivity and performance of the FFT is included in RAN4 study for co-channel case</w:t>
            </w:r>
          </w:p>
          <w:p w14:paraId="227649F3" w14:textId="77777777" w:rsidR="004F360E" w:rsidRPr="004F22EE" w:rsidRDefault="004F360E" w:rsidP="004F360E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 xml:space="preserve">FFS whether the adjacent channel case requires the selectivity and performance of the FFT. </w:t>
            </w:r>
          </w:p>
          <w:p w14:paraId="2EFFC4C6" w14:textId="77777777" w:rsidR="004F360E" w:rsidRPr="004F22EE" w:rsidRDefault="004F360E" w:rsidP="004F360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 xml:space="preserve">RAN4 should consider interferer with timing or frequency offset or both </w:t>
            </w:r>
            <w:proofErr w:type="spellStart"/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>w.r.t.</w:t>
            </w:r>
            <w:proofErr w:type="spellEnd"/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 xml:space="preserve"> the desired signal for the co-channel case</w:t>
            </w:r>
          </w:p>
          <w:p w14:paraId="252C9D13" w14:textId="77777777" w:rsidR="004F360E" w:rsidRPr="004F22EE" w:rsidRDefault="004F360E" w:rsidP="004F360E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>FFS whether this applies to the adjacent channel case</w:t>
            </w:r>
          </w:p>
          <w:p w14:paraId="3B929DC5" w14:textId="77777777" w:rsidR="004F360E" w:rsidRPr="004F22EE" w:rsidRDefault="004F360E" w:rsidP="004F360E">
            <w:pPr>
              <w:numPr>
                <w:ilvl w:val="0"/>
                <w:numId w:val="31"/>
              </w:numPr>
              <w:spacing w:after="120" w:line="240" w:lineRule="auto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For </w:t>
            </w:r>
            <w:r w:rsidRPr="004F22EE">
              <w:rPr>
                <w:rFonts w:ascii="Times New Roman" w:eastAsia="MS Mincho" w:hAnsi="Times New Roman" w:cs="Times New Roman" w:hint="eastAsia"/>
                <w:i/>
                <w:iCs/>
                <w:sz w:val="16"/>
                <w:szCs w:val="6"/>
                <w:lang w:eastAsia="en-US"/>
              </w:rPr>
              <w:t>new</w:t>
            </w: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 </w:t>
            </w:r>
            <w:r w:rsidRPr="004F22EE">
              <w:rPr>
                <w:rFonts w:ascii="Times New Roman" w:eastAsia="MS Mincho" w:hAnsi="Times New Roman" w:cs="Times New Roman" w:hint="eastAsia"/>
                <w:i/>
                <w:iCs/>
                <w:sz w:val="16"/>
                <w:szCs w:val="6"/>
                <w:lang w:eastAsia="en-US"/>
              </w:rPr>
              <w:t>SBFD</w:t>
            </w: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 capable UE, further analysis of the possibility to improve selectivity performance under the assumption that UE channel bandwidth </w:t>
            </w:r>
            <w:proofErr w:type="gramStart"/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>not equal</w:t>
            </w:r>
            <w:proofErr w:type="gramEnd"/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en-US"/>
              </w:rPr>
              <w:t xml:space="preserve"> the sub-band bandwidth.</w:t>
            </w:r>
          </w:p>
          <w:p w14:paraId="02BB6D6E" w14:textId="77777777" w:rsidR="004F360E" w:rsidRPr="004F22EE" w:rsidRDefault="004F360E" w:rsidP="004F360E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004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>Companies come next meeting with technical proposals on the level of interference from an UL sub-band co-channel interferer to the UE DL sub-band. So far companies have proposed:</w:t>
            </w:r>
          </w:p>
          <w:p w14:paraId="6B61C6C9" w14:textId="77777777" w:rsidR="004F360E" w:rsidRPr="004F22EE" w:rsidRDefault="004F360E" w:rsidP="004F360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724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>33 dB at the ADC output (for FR1) based on typical performance. FFS for FR2-1</w:t>
            </w:r>
          </w:p>
          <w:p w14:paraId="21140536" w14:textId="77777777" w:rsidR="004F360E" w:rsidRPr="004F22EE" w:rsidRDefault="004F360E" w:rsidP="004F360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724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>25 dB (for FR1 and FR2-1)</w:t>
            </w:r>
          </w:p>
          <w:p w14:paraId="18189A4C" w14:textId="77777777" w:rsidR="004F360E" w:rsidRPr="004F22EE" w:rsidRDefault="004F360E" w:rsidP="004F360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724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>0 dB (for FR1 and FR2-1)</w:t>
            </w:r>
          </w:p>
          <w:p w14:paraId="02E41980" w14:textId="77777777" w:rsidR="004F360E" w:rsidRPr="004F22EE" w:rsidRDefault="004F360E" w:rsidP="004F360E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724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  <w:lang w:eastAsia="ja-JP"/>
              </w:rPr>
              <w:t>Other values not precluded for discussion next meeting.</w:t>
            </w:r>
          </w:p>
          <w:p w14:paraId="03B2E658" w14:textId="77777777" w:rsidR="004F360E" w:rsidRPr="004F22EE" w:rsidRDefault="004F360E" w:rsidP="00801295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432" w:hanging="432"/>
              <w:outlineLvl w:val="0"/>
              <w:rPr>
                <w:rFonts w:ascii="Arial" w:eastAsia="SimSun" w:hAnsi="Arial" w:cs="Times New Roman"/>
                <w:i/>
                <w:iCs/>
                <w:sz w:val="16"/>
                <w:szCs w:val="6"/>
                <w:highlight w:val="yellow"/>
                <w:lang w:eastAsia="ja-JP"/>
              </w:rPr>
            </w:pPr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highlight w:val="yellow"/>
                <w:lang w:eastAsia="ja-JP"/>
              </w:rPr>
              <w:t>Issue 2-1-4: Effect of power contained in uplink sub-band on receiver model (blocker)</w:t>
            </w:r>
          </w:p>
          <w:p w14:paraId="013B8336" w14:textId="77777777" w:rsidR="004F360E" w:rsidRPr="004F22EE" w:rsidRDefault="004F360E" w:rsidP="00801295">
            <w:pPr>
              <w:keepNext/>
              <w:keepLines/>
              <w:numPr>
                <w:ilvl w:val="1"/>
                <w:numId w:val="0"/>
              </w:numPr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</w:pPr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  <w:t xml:space="preserve">Issue 2-1-4.1: AGC assumption for RX modeling (both co-channel </w:t>
            </w:r>
            <w:proofErr w:type="gramStart"/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  <w:t>or</w:t>
            </w:r>
            <w:proofErr w:type="gramEnd"/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  <w:t xml:space="preserve"> adjacent channel case)</w:t>
            </w:r>
          </w:p>
          <w:p w14:paraId="63254C6D" w14:textId="77777777" w:rsidR="004F360E" w:rsidRPr="004F22EE" w:rsidRDefault="004F360E" w:rsidP="00801295">
            <w:pPr>
              <w:spacing w:after="180"/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  <w:t>Addressing Apple comment on AGC assumption</w:t>
            </w:r>
          </w:p>
          <w:p w14:paraId="28F1EDC9" w14:textId="77777777" w:rsidR="004F360E" w:rsidRPr="004F22EE" w:rsidRDefault="004F360E" w:rsidP="00801295">
            <w:pPr>
              <w:spacing w:after="180"/>
              <w:ind w:left="568"/>
              <w:rPr>
                <w:rFonts w:ascii="Times New Roman" w:eastAsia="SimSun" w:hAnsi="Times New Roman" w:cs="Times New Roman"/>
                <w:b/>
                <w:bCs/>
                <w:i/>
                <w:iCs/>
                <w:sz w:val="16"/>
                <w:szCs w:val="6"/>
                <w:u w:val="single"/>
                <w:lang w:val="en-US"/>
              </w:rPr>
            </w:pPr>
            <w:r w:rsidRPr="004F22EE">
              <w:rPr>
                <w:rFonts w:ascii="Times New Roman" w:eastAsia="SimSun" w:hAnsi="Times New Roman" w:cs="Times New Roman"/>
                <w:b/>
                <w:bCs/>
                <w:i/>
                <w:iCs/>
                <w:sz w:val="16"/>
                <w:szCs w:val="6"/>
                <w:u w:val="single"/>
                <w:lang w:val="en-US"/>
              </w:rPr>
              <w:t xml:space="preserve">Proposed agreement: </w:t>
            </w:r>
          </w:p>
          <w:p w14:paraId="643BFD8D" w14:textId="77777777" w:rsidR="004F360E" w:rsidRPr="004F22EE" w:rsidRDefault="004F360E" w:rsidP="00801295">
            <w:pPr>
              <w:spacing w:after="180"/>
              <w:ind w:left="852"/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lang w:val="en-US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lang w:val="en-US"/>
              </w:rPr>
              <w:t xml:space="preserve">UE receiver AGC designs may </w:t>
            </w:r>
            <w:proofErr w:type="gramStart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lang w:val="en-US"/>
              </w:rPr>
              <w:t>vary</w:t>
            </w:r>
            <w:proofErr w:type="gramEnd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lang w:val="en-US"/>
              </w:rPr>
              <w:t xml:space="preserve"> and companies may bring contributions based on their design approach.</w:t>
            </w:r>
          </w:p>
          <w:p w14:paraId="6C7AF9A3" w14:textId="77777777" w:rsidR="004F360E" w:rsidRPr="004F22EE" w:rsidRDefault="004F360E" w:rsidP="00801295">
            <w:pPr>
              <w:keepNext/>
              <w:keepLines/>
              <w:numPr>
                <w:ilvl w:val="1"/>
                <w:numId w:val="0"/>
              </w:numPr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</w:pPr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  <w:t>Issue 2-1-4.2: In-</w:t>
            </w:r>
            <w:proofErr w:type="spellStart"/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  <w:t>subband</w:t>
            </w:r>
            <w:proofErr w:type="spellEnd"/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lang w:val="en-US"/>
              </w:rPr>
              <w:t xml:space="preserve"> UE self-noise over the input power range (co-channel case)</w:t>
            </w:r>
          </w:p>
          <w:p w14:paraId="44C7E63D" w14:textId="77777777" w:rsidR="004F360E" w:rsidRPr="004F22EE" w:rsidRDefault="004F360E" w:rsidP="00801295">
            <w:pPr>
              <w:spacing w:after="180"/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  <w:t xml:space="preserve">How to model the receiver self-noise </w:t>
            </w:r>
          </w:p>
          <w:p w14:paraId="43D88E19" w14:textId="77777777" w:rsidR="004F360E" w:rsidRPr="004F22EE" w:rsidRDefault="004F360E" w:rsidP="00801295">
            <w:pPr>
              <w:spacing w:after="180"/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  <w:t>9dB FR1 NF over the entire input power range was proposed. 10 dB for FR2-1.</w:t>
            </w:r>
          </w:p>
          <w:p w14:paraId="65D02A0C" w14:textId="77777777" w:rsidR="004F360E" w:rsidRPr="004F22EE" w:rsidRDefault="004F360E" w:rsidP="00801295">
            <w:pPr>
              <w:spacing w:after="180"/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</w:rPr>
              <w:t>We do not have a proposed agreement for this meeting.</w:t>
            </w:r>
          </w:p>
          <w:p w14:paraId="7DEA0DCF" w14:textId="77777777" w:rsidR="004F360E" w:rsidRPr="004F22EE" w:rsidRDefault="004F360E" w:rsidP="00801295">
            <w:pPr>
              <w:spacing w:after="180"/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lang w:val="en-US"/>
              </w:rPr>
            </w:pPr>
          </w:p>
          <w:p w14:paraId="1720BD48" w14:textId="77777777" w:rsidR="004F360E" w:rsidRPr="004F22EE" w:rsidRDefault="004F360E" w:rsidP="00801295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432" w:hanging="432"/>
              <w:outlineLvl w:val="0"/>
              <w:rPr>
                <w:rFonts w:ascii="Arial" w:eastAsia="SimSun" w:hAnsi="Arial" w:cs="Times New Roman"/>
                <w:i/>
                <w:iCs/>
                <w:sz w:val="16"/>
                <w:szCs w:val="6"/>
                <w:highlight w:val="yellow"/>
                <w:lang w:eastAsia="ja-JP"/>
              </w:rPr>
            </w:pPr>
            <w:r w:rsidRPr="004F22EE">
              <w:rPr>
                <w:rFonts w:ascii="Arial" w:eastAsia="SimSun" w:hAnsi="Arial" w:cs="Times New Roman"/>
                <w:i/>
                <w:iCs/>
                <w:sz w:val="16"/>
                <w:szCs w:val="6"/>
                <w:highlight w:val="yellow"/>
                <w:lang w:eastAsia="ja-JP"/>
              </w:rPr>
              <w:lastRenderedPageBreak/>
              <w:t>Issue 2-1-5: Clarification/summary on RX modelling (co-channel)</w:t>
            </w:r>
          </w:p>
          <w:p w14:paraId="5E0A2907" w14:textId="77777777" w:rsidR="004F360E" w:rsidRPr="004F22EE" w:rsidRDefault="004F360E" w:rsidP="00801295">
            <w:pPr>
              <w:spacing w:after="180"/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  <w:lang w:val="en-US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color w:val="0070C0"/>
                <w:sz w:val="16"/>
                <w:szCs w:val="6"/>
                <w:lang w:val="en-US"/>
              </w:rPr>
              <w:t>Proposal into the meeting seeks to clarify how to scale the flat frequency interference with interference and victim sub-band bandwidth. Based on the discussions about ACS-type value, those are proposed as FFS.</w:t>
            </w:r>
          </w:p>
          <w:p w14:paraId="46D4E263" w14:textId="77777777" w:rsidR="004F360E" w:rsidRPr="004F22EE" w:rsidRDefault="004F360E" w:rsidP="00801295">
            <w:pPr>
              <w:spacing w:after="120"/>
              <w:ind w:left="568"/>
              <w:rPr>
                <w:rFonts w:ascii="Times New Roman" w:eastAsia="SimSun" w:hAnsi="Times New Roman" w:cs="Times New Roman"/>
                <w:b/>
                <w:bCs/>
                <w:i/>
                <w:iCs/>
                <w:sz w:val="16"/>
                <w:szCs w:val="6"/>
                <w:u w:val="single"/>
              </w:rPr>
            </w:pPr>
            <w:r w:rsidRPr="004F22EE">
              <w:rPr>
                <w:rFonts w:ascii="Times New Roman" w:eastAsia="SimSun" w:hAnsi="Times New Roman" w:cs="Times New Roman"/>
                <w:b/>
                <w:bCs/>
                <w:i/>
                <w:iCs/>
                <w:sz w:val="16"/>
                <w:szCs w:val="6"/>
                <w:u w:val="single"/>
              </w:rPr>
              <w:t>Proposed agreement (Clarification on co-channel RX model):</w:t>
            </w:r>
          </w:p>
          <w:p w14:paraId="6FFDB891" w14:textId="77777777" w:rsidR="004F360E" w:rsidRPr="004F22EE" w:rsidRDefault="004F360E" w:rsidP="00801295">
            <w:pPr>
              <w:spacing w:after="180"/>
              <w:ind w:left="852"/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For FR1: P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vertAlign w:val="subscript"/>
              </w:rPr>
              <w:t>interference_co-channel_FR1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 xml:space="preserve"> = </w:t>
            </w:r>
            <w:proofErr w:type="spellStart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P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vertAlign w:val="subscript"/>
              </w:rPr>
              <w:t>interferer</w:t>
            </w:r>
            <w:proofErr w:type="spellEnd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 xml:space="preserve"> – (X dB + 10*log10(</w:t>
            </w:r>
            <w:proofErr w:type="gramStart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max(</w:t>
            </w:r>
            <w:proofErr w:type="gramEnd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1,BW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vertAlign w:val="subscript"/>
              </w:rPr>
              <w:t>interference /</w:t>
            </w:r>
            <w:proofErr w:type="spellStart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BW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vertAlign w:val="subscript"/>
              </w:rPr>
              <w:t>victim_subband</w:t>
            </w:r>
            <w:proofErr w:type="spellEnd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)))</w:t>
            </w:r>
          </w:p>
          <w:p w14:paraId="739E9340" w14:textId="77777777" w:rsidR="004F360E" w:rsidRPr="004F22EE" w:rsidRDefault="004F360E" w:rsidP="004F360E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</w:rPr>
              <w:t>X value is FFS</w:t>
            </w:r>
          </w:p>
          <w:p w14:paraId="2583F2C4" w14:textId="77777777" w:rsidR="004F360E" w:rsidRPr="004F22EE" w:rsidRDefault="004F360E" w:rsidP="00801295">
            <w:pPr>
              <w:spacing w:after="180"/>
              <w:ind w:left="852"/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</w:pP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For FR2-1: P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vertAlign w:val="subscript"/>
              </w:rPr>
              <w:t>interference_co-channel_FR2-1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 xml:space="preserve"> = </w:t>
            </w:r>
            <w:proofErr w:type="spellStart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P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vertAlign w:val="subscript"/>
              </w:rPr>
              <w:t>interferer</w:t>
            </w:r>
            <w:proofErr w:type="spellEnd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 xml:space="preserve"> – (Y dB + 10*log10(</w:t>
            </w:r>
            <w:proofErr w:type="gramStart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max(</w:t>
            </w:r>
            <w:proofErr w:type="gramEnd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1,BW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vertAlign w:val="subscript"/>
              </w:rPr>
              <w:t>interference /</w:t>
            </w:r>
            <w:proofErr w:type="spellStart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BW</w:t>
            </w:r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  <w:vertAlign w:val="subscript"/>
              </w:rPr>
              <w:t>victim_subband</w:t>
            </w:r>
            <w:proofErr w:type="spellEnd"/>
            <w:r w:rsidRPr="004F22EE">
              <w:rPr>
                <w:rFonts w:ascii="Times New Roman" w:eastAsia="SimSun" w:hAnsi="Times New Roman" w:cs="Times New Roman"/>
                <w:i/>
                <w:iCs/>
                <w:sz w:val="16"/>
                <w:szCs w:val="6"/>
              </w:rPr>
              <w:t>)))</w:t>
            </w:r>
          </w:p>
          <w:p w14:paraId="52050E10" w14:textId="77777777" w:rsidR="004F360E" w:rsidRPr="004F22EE" w:rsidRDefault="004F360E" w:rsidP="004F360E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</w:rPr>
            </w:pPr>
            <w:r w:rsidRPr="004F22EE">
              <w:rPr>
                <w:rFonts w:ascii="Times New Roman" w:eastAsia="MS Mincho" w:hAnsi="Times New Roman" w:cs="Times New Roman"/>
                <w:i/>
                <w:iCs/>
                <w:sz w:val="16"/>
                <w:szCs w:val="6"/>
              </w:rPr>
              <w:t>Y value is FFS</w:t>
            </w:r>
          </w:p>
        </w:tc>
      </w:tr>
    </w:tbl>
    <w:p w14:paraId="45ED5E20" w14:textId="77777777" w:rsidR="004F360E" w:rsidRDefault="004F360E" w:rsidP="004F360E"/>
    <w:p w14:paraId="304B4804" w14:textId="5AFF74C7" w:rsidR="00E92373" w:rsidRPr="000E2CCA" w:rsidRDefault="004F360E" w:rsidP="004F22EE">
      <w:pPr>
        <w:rPr>
          <w:lang w:val="en-US"/>
        </w:rPr>
      </w:pPr>
      <w:r w:rsidRPr="004F360E">
        <w:rPr>
          <w:lang w:val="en-US"/>
        </w:rPr>
        <w:t>In this contribution we continue to discuss these open issues.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6DF7C6DA" w14:textId="0ED8333E" w:rsidR="00EB7204" w:rsidRPr="00162A02" w:rsidRDefault="00162A02" w:rsidP="00162A02">
      <w:pPr>
        <w:pStyle w:val="Heading2"/>
      </w:pPr>
      <w:r>
        <w:t>2.</w:t>
      </w:r>
      <w:r w:rsidR="00DC5C1B">
        <w:t xml:space="preserve">1 </w:t>
      </w:r>
      <w:r w:rsidR="00017660">
        <w:t>Sub-band selectivity</w:t>
      </w:r>
      <w:r w:rsidR="00EE5AD7">
        <w:t xml:space="preserve"> and </w:t>
      </w:r>
      <w:r w:rsidR="005E14CE">
        <w:t xml:space="preserve">FFT </w:t>
      </w:r>
      <w:r w:rsidR="00C16715">
        <w:t>leakage</w:t>
      </w:r>
      <w:r w:rsidR="00EE5AD7">
        <w:t xml:space="preserve"> modelling</w:t>
      </w:r>
    </w:p>
    <w:p w14:paraId="366C6B33" w14:textId="35791952" w:rsidR="00960587" w:rsidRDefault="00652FC3" w:rsidP="00932D17">
      <w:pPr>
        <w:jc w:val="both"/>
        <w:rPr>
          <w:bCs/>
          <w:lang w:val="en-US"/>
        </w:rPr>
      </w:pPr>
      <w:r>
        <w:rPr>
          <w:bCs/>
          <w:lang w:val="en-US"/>
        </w:rPr>
        <w:t>As discussed in Section 2.1, a legacy UE has both DL and UL sub-bands in its channel bandwidth, as illustrated in the following figure, and it suffers UL interference from an aggressor nearby</w:t>
      </w:r>
      <w:r w:rsidR="0028363B">
        <w:rPr>
          <w:bCs/>
          <w:lang w:val="en-US"/>
        </w:rPr>
        <w:t xml:space="preserve"> where the interference sub-band may have a power offset </w:t>
      </w:r>
      <w:proofErr w:type="spellStart"/>
      <w:r w:rsidR="00D37FC3" w:rsidRPr="00D37FC3">
        <w:rPr>
          <w:b/>
          <w:lang w:val="en-US"/>
        </w:rPr>
        <w:t>P_incre_offset</w:t>
      </w:r>
      <w:proofErr w:type="spellEnd"/>
      <w:r w:rsidR="00D37FC3">
        <w:rPr>
          <w:bCs/>
          <w:lang w:val="en-US"/>
        </w:rPr>
        <w:t xml:space="preserve"> </w:t>
      </w:r>
      <w:r w:rsidR="0028363B">
        <w:rPr>
          <w:bCs/>
          <w:lang w:val="en-US"/>
        </w:rPr>
        <w:t>against the downlink receive power</w:t>
      </w:r>
      <w:r>
        <w:rPr>
          <w:bCs/>
          <w:lang w:val="en-US"/>
        </w:rPr>
        <w:t>.</w:t>
      </w:r>
    </w:p>
    <w:p w14:paraId="71A4B246" w14:textId="0F9F9D5E" w:rsidR="00652FC3" w:rsidRDefault="00652FC3" w:rsidP="00652FC3">
      <w:pPr>
        <w:jc w:val="center"/>
        <w:rPr>
          <w:bCs/>
          <w:lang w:val="en-US"/>
        </w:rPr>
      </w:pPr>
      <w:r>
        <w:rPr>
          <w:bCs/>
          <w:noProof/>
          <w:lang w:val="en-US"/>
        </w:rPr>
        <w:drawing>
          <wp:inline distT="0" distB="0" distL="0" distR="0" wp14:anchorId="662F9865" wp14:editId="43F0C85D">
            <wp:extent cx="3073400" cy="1687850"/>
            <wp:effectExtent l="0" t="0" r="0" b="762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618" cy="169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4DA57" w14:textId="6CEDE0F3" w:rsidR="00652FC3" w:rsidRDefault="00652FC3" w:rsidP="00652FC3">
      <w:pPr>
        <w:jc w:val="center"/>
        <w:rPr>
          <w:bCs/>
          <w:lang w:val="en-US"/>
        </w:rPr>
      </w:pPr>
      <w:r>
        <w:rPr>
          <w:bCs/>
          <w:lang w:val="en-US"/>
        </w:rPr>
        <w:t>Fig. 1</w:t>
      </w:r>
      <w:r w:rsidR="005E14CE">
        <w:rPr>
          <w:bCs/>
          <w:lang w:val="en-US"/>
        </w:rPr>
        <w:t xml:space="preserve">: </w:t>
      </w:r>
      <w:r>
        <w:rPr>
          <w:bCs/>
          <w:lang w:val="en-US"/>
        </w:rPr>
        <w:t>UL interference from Aggressor toward DL reception</w:t>
      </w:r>
    </w:p>
    <w:p w14:paraId="03CA872A" w14:textId="7CDBBBA4" w:rsidR="00C46856" w:rsidRDefault="00D37FC3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 </w:t>
      </w:r>
      <w:r w:rsidR="0028363B">
        <w:rPr>
          <w:bCs/>
          <w:lang w:val="en-US"/>
        </w:rPr>
        <w:t>UL interference</w:t>
      </w:r>
      <w:r>
        <w:rPr>
          <w:bCs/>
          <w:lang w:val="en-US"/>
        </w:rPr>
        <w:t xml:space="preserve"> may impact the victim’s DL reception due to both carrier frequency offset (CFO) and symbol timing offset (STO).</w:t>
      </w:r>
      <w:r w:rsidR="0028363B">
        <w:rPr>
          <w:bCs/>
          <w:lang w:val="en-US"/>
        </w:rPr>
        <w:t xml:space="preserve"> </w:t>
      </w:r>
      <w:r w:rsidR="00C658AB">
        <w:rPr>
          <w:bCs/>
          <w:lang w:val="en-US"/>
        </w:rPr>
        <w:t xml:space="preserve">Since the frequency </w:t>
      </w:r>
      <w:r w:rsidR="00C46856">
        <w:rPr>
          <w:bCs/>
          <w:lang w:val="en-US"/>
        </w:rPr>
        <w:t xml:space="preserve">error </w:t>
      </w:r>
      <w:r w:rsidR="00C658AB">
        <w:rPr>
          <w:bCs/>
          <w:lang w:val="en-US"/>
        </w:rPr>
        <w:t xml:space="preserve">requirements is </w:t>
      </w:r>
      <w:r w:rsidR="00C658AB">
        <w:rPr>
          <w:rFonts w:cstheme="minorHAnsi"/>
          <w:bCs/>
          <w:lang w:val="en-US"/>
        </w:rPr>
        <w:t>±</w:t>
      </w:r>
      <w:r w:rsidR="00C658AB">
        <w:rPr>
          <w:bCs/>
          <w:lang w:val="en-US"/>
        </w:rPr>
        <w:t>0.1ppm at UE side</w:t>
      </w:r>
      <w:r w:rsidR="00C46856">
        <w:rPr>
          <w:bCs/>
          <w:lang w:val="en-US"/>
        </w:rPr>
        <w:t xml:space="preserve"> [2][3]</w:t>
      </w:r>
      <w:r w:rsidR="00C658AB">
        <w:rPr>
          <w:bCs/>
          <w:lang w:val="en-US"/>
        </w:rPr>
        <w:t xml:space="preserve">, the worst case </w:t>
      </w:r>
      <w:r w:rsidR="00DC5C1B">
        <w:rPr>
          <w:bCs/>
          <w:lang w:val="en-US"/>
        </w:rPr>
        <w:t xml:space="preserve">offset between 2 stationary UEs </w:t>
      </w:r>
      <w:r w:rsidR="00C658AB">
        <w:rPr>
          <w:bCs/>
          <w:lang w:val="en-US"/>
        </w:rPr>
        <w:t xml:space="preserve">would be 0.2ppm, which corresponds to a maximum </w:t>
      </w:r>
      <w:r w:rsidR="00C46856">
        <w:rPr>
          <w:bCs/>
          <w:lang w:val="en-US"/>
        </w:rPr>
        <w:t>frequency offset</w:t>
      </w:r>
      <w:r w:rsidR="00C658AB">
        <w:rPr>
          <w:bCs/>
          <w:lang w:val="en-US"/>
        </w:rPr>
        <w:t xml:space="preserve"> of 1200Hz (6GHz * 0.2ppm) for FR1, or </w:t>
      </w:r>
      <w:r w:rsidR="00F2258F">
        <w:rPr>
          <w:bCs/>
          <w:lang w:val="en-US"/>
        </w:rPr>
        <w:t xml:space="preserve">10.52kHz (52.6GHz * 0.2ppm) for FR2-1. </w:t>
      </w:r>
      <w:r w:rsidR="00DC5C1B">
        <w:rPr>
          <w:bCs/>
          <w:lang w:val="en-US"/>
        </w:rPr>
        <w:t>For moving UEs, the difference could be higher due to doppler shift considerations.</w:t>
      </w:r>
      <w:r w:rsidR="00995976">
        <w:rPr>
          <w:bCs/>
          <w:lang w:val="en-US"/>
        </w:rPr>
        <w:t xml:space="preserve"> However, in the RAN1 modelling, UEs within a cluster are operating indoors, so likely low mobility.</w:t>
      </w:r>
    </w:p>
    <w:p w14:paraId="76974F4C" w14:textId="17328321" w:rsidR="00C46856" w:rsidRPr="00C46856" w:rsidRDefault="00C46856" w:rsidP="00932D17">
      <w:pPr>
        <w:jc w:val="both"/>
        <w:rPr>
          <w:b/>
          <w:lang w:val="en-US"/>
        </w:rPr>
      </w:pPr>
      <w:r w:rsidRPr="00C46856">
        <w:rPr>
          <w:b/>
          <w:lang w:val="en-US"/>
        </w:rPr>
        <w:t xml:space="preserve">Observation 1: </w:t>
      </w:r>
      <w:r w:rsidR="00DC5C1B">
        <w:rPr>
          <w:b/>
          <w:lang w:val="en-US"/>
        </w:rPr>
        <w:t>Realistic frequency and timing offsets need to be considered when analy</w:t>
      </w:r>
      <w:r w:rsidR="00995976">
        <w:rPr>
          <w:b/>
          <w:lang w:val="en-US"/>
        </w:rPr>
        <w:t>z</w:t>
      </w:r>
      <w:r w:rsidR="00DC5C1B">
        <w:rPr>
          <w:b/>
          <w:lang w:val="en-US"/>
        </w:rPr>
        <w:t>ing the ability of FFT to perform rejection of interference</w:t>
      </w:r>
      <w:r w:rsidRPr="00C46856">
        <w:rPr>
          <w:b/>
          <w:lang w:val="en-US"/>
        </w:rPr>
        <w:t>.</w:t>
      </w:r>
    </w:p>
    <w:p w14:paraId="578BC394" w14:textId="548C2605" w:rsidR="00485FFD" w:rsidRDefault="00485FFD" w:rsidP="00932D17">
      <w:pPr>
        <w:jc w:val="both"/>
        <w:rPr>
          <w:bCs/>
          <w:lang w:val="en-US"/>
        </w:rPr>
      </w:pPr>
      <w:r>
        <w:rPr>
          <w:bCs/>
          <w:lang w:val="en-US"/>
        </w:rPr>
        <w:t>CFO leads to ICI and it can be analyzed theoretically as the following equation:</w:t>
      </w:r>
    </w:p>
    <w:p w14:paraId="2F362134" w14:textId="2ECF0AA0" w:rsidR="00485FFD" w:rsidRDefault="00485FFD" w:rsidP="00485FFD">
      <w:pPr>
        <w:jc w:val="center"/>
        <w:rPr>
          <w:bCs/>
          <w:lang w:val="en-US"/>
        </w:rPr>
      </w:pPr>
      <w:r>
        <w:rPr>
          <w:noProof/>
        </w:rPr>
        <w:drawing>
          <wp:inline distT="0" distB="0" distL="0" distR="0" wp14:anchorId="41E67457" wp14:editId="410A0127">
            <wp:extent cx="2156460" cy="497840"/>
            <wp:effectExtent l="0" t="0" r="0" b="0"/>
            <wp:docPr id="55" name="Picture 55" descr="%FontSize=11&#10;%TeXFontSize=11&#10;\documentclass{article}&#10;\pagestyle{empty}&#10;\begin{document}&#10;\[&#10;\omega^{(\nu)}(\tau)=\frac{j}{2}(1-e^{j2\pi\varepsilon^{(\nu)}})\frac{e^{\frac{\pi(\tau+\varepsilon^{(\nu)})}{M}}}{\sin({\frac{-\pi(\tau+\varepsilon^{(\nu)})}{M}})}&#10;\]&#10;\end{document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%FontSize=11&#10;%TeXFontSize=11&#10;\documentclass{article}&#10;\pagestyle{empty}&#10;\begin{document}&#10;\[&#10;\omega^{(\nu)}(\tau)=\frac{j}{2}(1-e^{j2\pi\varepsilon^{(\nu)}})\frac{e^{\frac{\pi(\tau+\varepsilon^{(\nu)})}{M}}}{\sin({\frac{-\pi(\tau+\varepsilon^{(\nu)})}{M}})}&#10;\]&#10;\end{document}"/>
                    <pic:cNvPicPr/>
                  </pic:nvPicPr>
                  <pic:blipFill>
                    <a:blip r:embed="rId13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4BA9">
        <w:rPr>
          <w:bCs/>
          <w:lang w:val="en-US"/>
        </w:rPr>
        <w:t xml:space="preserve">               (1)</w:t>
      </w:r>
    </w:p>
    <w:p w14:paraId="1DDF1ADA" w14:textId="77777777" w:rsidR="00485FFD" w:rsidRPr="00485FFD" w:rsidRDefault="00485FFD" w:rsidP="00932D17">
      <w:pPr>
        <w:jc w:val="both"/>
        <w:rPr>
          <w:bCs/>
          <w:lang w:val="en-US"/>
        </w:rPr>
      </w:pPr>
      <w:proofErr w:type="gramStart"/>
      <w:r>
        <w:rPr>
          <w:bCs/>
          <w:lang w:val="en-US"/>
        </w:rPr>
        <w:lastRenderedPageBreak/>
        <w:t>Where</w:t>
      </w:r>
      <w:proofErr w:type="gramEnd"/>
      <w:r>
        <w:rPr>
          <w:bCs/>
          <w:lang w:val="en-US"/>
        </w:rPr>
        <w:t xml:space="preserve"> </w:t>
      </w:r>
    </w:p>
    <w:p w14:paraId="27E469B4" w14:textId="0EBFBB23" w:rsidR="00485FFD" w:rsidRPr="00485FFD" w:rsidRDefault="009942B8" w:rsidP="00485FFD">
      <w:pPr>
        <w:pStyle w:val="ListParagraph"/>
        <w:numPr>
          <w:ilvl w:val="0"/>
          <w:numId w:val="35"/>
        </w:numPr>
        <w:jc w:val="both"/>
        <w:rPr>
          <w:bCs/>
          <w:lang w:val="en-US"/>
        </w:rPr>
      </w:pPr>
      <m:oMath>
        <m:sSup>
          <m:sSupPr>
            <m:ctrlPr>
              <w:rPr>
                <w:rFonts w:ascii="Cambria Math" w:hAnsi="Cambria Math"/>
                <w:bCs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ω</m:t>
            </m:r>
          </m:e>
          <m:sup>
            <m:d>
              <m:dPr>
                <m:ctrlPr>
                  <w:rPr>
                    <w:rFonts w:ascii="Cambria Math" w:hAnsi="Cambria Math"/>
                    <w:bCs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υ</m:t>
                </m:r>
              </m:e>
            </m:d>
          </m:sup>
        </m:sSup>
        <m:r>
          <w:rPr>
            <w:rFonts w:ascii="Cambria Math" w:hAnsi="Cambria Math"/>
            <w:lang w:val="en-US"/>
          </w:rPr>
          <m:t>(τ)</m:t>
        </m:r>
      </m:oMath>
      <w:r w:rsidR="00485FFD">
        <w:rPr>
          <w:bCs/>
          <w:lang w:val="en-US"/>
        </w:rPr>
        <w:t xml:space="preserve"> represents the interference from one subcarrier to the other subcarrier with a distance </w:t>
      </w:r>
      <w:r w:rsidR="00485FFD">
        <w:rPr>
          <w:rFonts w:cstheme="minorHAnsi"/>
          <w:bCs/>
          <w:lang w:val="en-US"/>
        </w:rPr>
        <w:t>τ.</w:t>
      </w:r>
    </w:p>
    <w:p w14:paraId="247BDD11" w14:textId="2073BC3F" w:rsidR="00485FFD" w:rsidRDefault="00485FFD" w:rsidP="00485FFD">
      <w:pPr>
        <w:pStyle w:val="ListParagraph"/>
        <w:numPr>
          <w:ilvl w:val="0"/>
          <w:numId w:val="35"/>
        </w:numPr>
        <w:jc w:val="both"/>
        <w:rPr>
          <w:bCs/>
          <w:lang w:val="en-US"/>
        </w:rPr>
      </w:pPr>
      <m:oMath>
        <m:r>
          <w:rPr>
            <w:rFonts w:ascii="Cambria Math" w:hAnsi="Cambria Math"/>
            <w:lang w:val="en-US"/>
          </w:rPr>
          <m:t xml:space="preserve">M </m:t>
        </m:r>
      </m:oMath>
      <w:r>
        <w:rPr>
          <w:bCs/>
          <w:lang w:val="en-US"/>
        </w:rPr>
        <w:t>is the number of allocated subcarriers.</w:t>
      </w:r>
    </w:p>
    <w:p w14:paraId="13098678" w14:textId="10D01170" w:rsidR="00485FFD" w:rsidRDefault="009942B8" w:rsidP="00485FFD">
      <w:pPr>
        <w:pStyle w:val="ListParagraph"/>
        <w:numPr>
          <w:ilvl w:val="0"/>
          <w:numId w:val="35"/>
        </w:numPr>
        <w:jc w:val="both"/>
        <w:rPr>
          <w:bCs/>
          <w:lang w:val="en-US"/>
        </w:rPr>
      </w:pPr>
      <m:oMath>
        <m:sSup>
          <m:sSupPr>
            <m:ctrlPr>
              <w:rPr>
                <w:rFonts w:ascii="Cambria Math" w:hAnsi="Cambria Math"/>
                <w:bCs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ε</m:t>
            </m:r>
          </m:e>
          <m:sup>
            <m:d>
              <m:dPr>
                <m:ctrlPr>
                  <w:rPr>
                    <w:rFonts w:ascii="Cambria Math" w:hAnsi="Cambria Math"/>
                    <w:bCs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υ</m:t>
                </m:r>
              </m:e>
            </m:d>
          </m:sup>
        </m:sSup>
      </m:oMath>
      <w:r w:rsidR="00485FFD">
        <w:rPr>
          <w:bCs/>
          <w:lang w:val="en-US"/>
        </w:rPr>
        <w:t xml:space="preserve"> is the normalized frequency offset to the sub-carrier </w:t>
      </w:r>
      <w:proofErr w:type="gramStart"/>
      <w:r w:rsidR="00485FFD">
        <w:rPr>
          <w:bCs/>
          <w:lang w:val="en-US"/>
        </w:rPr>
        <w:t>spacing</w:t>
      </w:r>
      <w:r w:rsidR="006F72C0">
        <w:rPr>
          <w:bCs/>
          <w:lang w:val="en-US"/>
        </w:rPr>
        <w:t>.</w:t>
      </w:r>
      <w:proofErr w:type="gramEnd"/>
    </w:p>
    <w:p w14:paraId="72C7E0E8" w14:textId="3DE39F16" w:rsidR="00517659" w:rsidRDefault="00C24C6C" w:rsidP="00932D17">
      <w:pPr>
        <w:jc w:val="both"/>
        <w:rPr>
          <w:bCs/>
          <w:lang w:val="en-US"/>
        </w:rPr>
      </w:pPr>
      <w:r>
        <w:rPr>
          <w:bCs/>
          <w:lang w:val="en-US"/>
        </w:rPr>
        <w:t>STO leads to ISI and</w:t>
      </w:r>
      <w:r w:rsidR="00F2258F">
        <w:rPr>
          <w:bCs/>
          <w:lang w:val="en-US"/>
        </w:rPr>
        <w:t xml:space="preserve"> </w:t>
      </w:r>
      <w:r w:rsidR="00675FFB">
        <w:rPr>
          <w:bCs/>
          <w:lang w:val="en-US"/>
        </w:rPr>
        <w:t>depends</w:t>
      </w:r>
      <w:r w:rsidR="006310DC">
        <w:rPr>
          <w:bCs/>
          <w:lang w:val="en-US"/>
        </w:rPr>
        <w:t xml:space="preserve"> on the </w:t>
      </w:r>
      <w:r w:rsidR="00006A81">
        <w:rPr>
          <w:bCs/>
          <w:lang w:val="en-US"/>
        </w:rPr>
        <w:t xml:space="preserve">maximum timing mismatch </w:t>
      </w:r>
      <w:r w:rsidR="00995976">
        <w:rPr>
          <w:bCs/>
          <w:lang w:val="en-US"/>
        </w:rPr>
        <w:t>between the 2 UEs</w:t>
      </w:r>
      <w:r w:rsidR="00006A81">
        <w:rPr>
          <w:bCs/>
          <w:lang w:val="en-US"/>
        </w:rPr>
        <w:t xml:space="preserve">. </w:t>
      </w:r>
      <w:r w:rsidR="00995976">
        <w:rPr>
          <w:bCs/>
          <w:lang w:val="en-US"/>
        </w:rPr>
        <w:t>The timing offset will depend on the fixed offset between UL and DL (as defined in TS 38.</w:t>
      </w:r>
      <w:r w:rsidR="00FB1FC9">
        <w:rPr>
          <w:bCs/>
          <w:lang w:val="en-US"/>
        </w:rPr>
        <w:t>133</w:t>
      </w:r>
      <w:r w:rsidR="00995976">
        <w:rPr>
          <w:bCs/>
          <w:lang w:val="en-US"/>
        </w:rPr>
        <w:t xml:space="preserve">) </w:t>
      </w:r>
      <w:proofErr w:type="gramStart"/>
      <w:r w:rsidR="00995976">
        <w:rPr>
          <w:bCs/>
          <w:lang w:val="en-US"/>
        </w:rPr>
        <w:t>and also</w:t>
      </w:r>
      <w:proofErr w:type="gramEnd"/>
      <w:r w:rsidR="00995976">
        <w:rPr>
          <w:bCs/>
          <w:lang w:val="en-US"/>
        </w:rPr>
        <w:t xml:space="preserve"> the timing advance applied by the transmitting UE.</w:t>
      </w:r>
    </w:p>
    <w:p w14:paraId="1212CB31" w14:textId="5A05B5F2" w:rsidR="00517659" w:rsidRDefault="00517659" w:rsidP="00517659">
      <w:pPr>
        <w:jc w:val="both"/>
        <w:rPr>
          <w:bCs/>
          <w:lang w:val="en-US"/>
        </w:rPr>
      </w:pPr>
      <w:r>
        <w:rPr>
          <w:bCs/>
          <w:lang w:val="en-US"/>
        </w:rPr>
        <w:t>Fig. 3 illustrates ICIs from simulations</w:t>
      </w:r>
      <w:r w:rsidR="00C61242">
        <w:rPr>
          <w:bCs/>
          <w:lang w:val="en-US"/>
        </w:rPr>
        <w:t xml:space="preserve"> with different CFO and STO values</w:t>
      </w:r>
      <w:r w:rsidR="00995976">
        <w:rPr>
          <w:bCs/>
          <w:lang w:val="en-US"/>
        </w:rPr>
        <w:t>, where the CFO is in Hz and the STO is in terms of samples (considering 4096 samples per symbol). The SCS = 30kHz, and 51 RBs are modelled.</w:t>
      </w:r>
    </w:p>
    <w:p w14:paraId="2821DE01" w14:textId="14F1AABB" w:rsidR="009658EC" w:rsidRPr="00472A3D" w:rsidRDefault="009658EC" w:rsidP="00517659">
      <w:pPr>
        <w:jc w:val="both"/>
        <w:rPr>
          <w:bCs/>
          <w:lang w:val="en-US"/>
        </w:rPr>
      </w:pPr>
      <w:r>
        <w:rPr>
          <w:bCs/>
          <w:lang w:val="en-US"/>
        </w:rPr>
        <w:t xml:space="preserve">For low velocity UEs, it can be observed that the STO has largest impact compared to the relevant CFO levels. It can also be observed that </w:t>
      </w:r>
      <w:r w:rsidR="00472A3D" w:rsidRPr="00EE437E">
        <w:rPr>
          <w:bCs/>
          <w:lang w:val="en-US"/>
        </w:rPr>
        <w:t xml:space="preserve">IBE should largely dominate over FFT </w:t>
      </w:r>
      <w:r w:rsidR="00C16715" w:rsidRPr="00EE437E">
        <w:rPr>
          <w:bCs/>
          <w:lang w:val="en-US"/>
        </w:rPr>
        <w:t>leakage</w:t>
      </w:r>
      <w:r w:rsidR="00472A3D" w:rsidRPr="00EE437E">
        <w:rPr>
          <w:bCs/>
          <w:lang w:val="en-US"/>
        </w:rPr>
        <w:t xml:space="preserve">, with some </w:t>
      </w:r>
      <w:proofErr w:type="spellStart"/>
      <w:r w:rsidR="00472A3D" w:rsidRPr="00EE437E">
        <w:rPr>
          <w:bCs/>
          <w:lang w:val="en-US"/>
        </w:rPr>
        <w:t>guardband</w:t>
      </w:r>
      <w:proofErr w:type="spellEnd"/>
      <w:r w:rsidR="00472A3D" w:rsidRPr="00EE437E">
        <w:rPr>
          <w:bCs/>
          <w:lang w:val="en-US"/>
        </w:rPr>
        <w:t xml:space="preserve"> required</w:t>
      </w:r>
      <w:r w:rsidR="00EE437E">
        <w:rPr>
          <w:bCs/>
          <w:lang w:val="en-US"/>
        </w:rPr>
        <w:t xml:space="preserve"> (</w:t>
      </w:r>
      <w:r w:rsidR="00472A3D" w:rsidRPr="00EE437E">
        <w:rPr>
          <w:bCs/>
          <w:lang w:val="en-US"/>
        </w:rPr>
        <w:t xml:space="preserve">1 RB if assuming 3GPP IBE QPSK requirements and a larger </w:t>
      </w:r>
      <w:proofErr w:type="spellStart"/>
      <w:r w:rsidR="00472A3D" w:rsidRPr="00EE437E">
        <w:rPr>
          <w:bCs/>
          <w:lang w:val="en-US"/>
        </w:rPr>
        <w:t>guardband</w:t>
      </w:r>
      <w:proofErr w:type="spellEnd"/>
      <w:r w:rsidR="00472A3D" w:rsidRPr="00EE437E">
        <w:rPr>
          <w:bCs/>
          <w:lang w:val="en-US"/>
        </w:rPr>
        <w:t xml:space="preserve"> for other modulation schemes</w:t>
      </w:r>
      <w:r w:rsidR="00EE437E">
        <w:rPr>
          <w:bCs/>
          <w:lang w:val="en-US"/>
        </w:rPr>
        <w:t>)</w:t>
      </w:r>
      <w:r w:rsidR="00472A3D" w:rsidRPr="00EE437E">
        <w:rPr>
          <w:bCs/>
          <w:lang w:val="en-US"/>
        </w:rPr>
        <w:t>. In real implementations there may be improved IBE compared to specifications of course.</w:t>
      </w:r>
    </w:p>
    <w:p w14:paraId="6454390A" w14:textId="62AA6777" w:rsidR="00B23A89" w:rsidRPr="00152069" w:rsidRDefault="00B23A89" w:rsidP="00B23A89">
      <w:pPr>
        <w:jc w:val="center"/>
        <w:rPr>
          <w:bCs/>
          <w:lang w:val="en-US"/>
        </w:rPr>
      </w:pPr>
      <w:r>
        <w:rPr>
          <w:bCs/>
          <w:lang w:val="en-US"/>
        </w:rPr>
        <w:t xml:space="preserve">Fig. 3(a)-(f) Simulated ICI </w:t>
      </w:r>
    </w:p>
    <w:p w14:paraId="23DB2B1D" w14:textId="38414431" w:rsidR="00DC5C1B" w:rsidRDefault="00DC5C1B" w:rsidP="00B23A89">
      <w:pPr>
        <w:jc w:val="center"/>
        <w:rPr>
          <w:bCs/>
          <w:lang w:val="en-US"/>
        </w:rPr>
      </w:pPr>
      <w:r>
        <w:rPr>
          <w:bCs/>
          <w:noProof/>
          <w:lang w:val="en-US"/>
        </w:rPr>
        <w:drawing>
          <wp:inline distT="0" distB="0" distL="0" distR="0" wp14:anchorId="1D1E0787" wp14:editId="7DA8C0BD">
            <wp:extent cx="4997440" cy="25984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616" cy="2627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3717F" w14:textId="2A27CFD0" w:rsidR="00DC5C1B" w:rsidRDefault="00DC5C1B" w:rsidP="00DC5C1B">
      <w:pPr>
        <w:pStyle w:val="ListParagraph"/>
        <w:numPr>
          <w:ilvl w:val="0"/>
          <w:numId w:val="37"/>
        </w:numPr>
        <w:jc w:val="center"/>
        <w:rPr>
          <w:bCs/>
          <w:lang w:val="en-US"/>
        </w:rPr>
      </w:pPr>
      <w:r>
        <w:rPr>
          <w:bCs/>
          <w:lang w:val="en-US"/>
        </w:rPr>
        <w:t>CFO =0, STO =0)</w:t>
      </w:r>
    </w:p>
    <w:p w14:paraId="719BAFA0" w14:textId="76A3B91A" w:rsidR="00DE1910" w:rsidRDefault="00DE1910" w:rsidP="00EE437E">
      <w:pPr>
        <w:pStyle w:val="ListParagraph"/>
        <w:jc w:val="center"/>
        <w:rPr>
          <w:bCs/>
          <w:lang w:val="en-US"/>
        </w:rPr>
      </w:pPr>
      <w:r>
        <w:rPr>
          <w:bCs/>
          <w:noProof/>
          <w:lang w:val="en-US"/>
        </w:rPr>
        <w:lastRenderedPageBreak/>
        <w:drawing>
          <wp:inline distT="0" distB="0" distL="0" distR="0" wp14:anchorId="6B7FB7E3" wp14:editId="0228BD09">
            <wp:extent cx="4823279" cy="268946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488" cy="2773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51C88" w14:textId="007FF06A" w:rsidR="00DE1910" w:rsidRPr="00B23A89" w:rsidRDefault="00B23A89" w:rsidP="00B23A89">
      <w:pPr>
        <w:pStyle w:val="ListParagraph"/>
        <w:numPr>
          <w:ilvl w:val="0"/>
          <w:numId w:val="37"/>
        </w:numPr>
        <w:jc w:val="center"/>
        <w:rPr>
          <w:bCs/>
          <w:lang w:val="en-US"/>
        </w:rPr>
      </w:pPr>
      <w:r>
        <w:rPr>
          <w:bCs/>
          <w:lang w:val="en-US"/>
        </w:rPr>
        <w:t xml:space="preserve"> C</w:t>
      </w:r>
      <w:r w:rsidR="00DE1910">
        <w:rPr>
          <w:bCs/>
          <w:lang w:val="en-US"/>
        </w:rPr>
        <w:t>FO =1200, STO =0</w:t>
      </w:r>
    </w:p>
    <w:p w14:paraId="2B338D42" w14:textId="27FBE0AF" w:rsidR="00E750C3" w:rsidRDefault="00E750C3" w:rsidP="00EE437E">
      <w:pPr>
        <w:pStyle w:val="ListParagraph"/>
        <w:jc w:val="center"/>
        <w:rPr>
          <w:bCs/>
          <w:lang w:val="en-US"/>
        </w:rPr>
      </w:pPr>
      <w:r>
        <w:rPr>
          <w:bCs/>
          <w:noProof/>
          <w:lang w:val="en-US"/>
        </w:rPr>
        <w:drawing>
          <wp:inline distT="0" distB="0" distL="0" distR="0" wp14:anchorId="665D7449" wp14:editId="534BD57A">
            <wp:extent cx="5125980" cy="2717542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85" cy="2733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5CA17" w14:textId="01EBE21C" w:rsidR="00E750C3" w:rsidRDefault="00E750C3" w:rsidP="00E750C3">
      <w:pPr>
        <w:pStyle w:val="ListParagraph"/>
        <w:numPr>
          <w:ilvl w:val="0"/>
          <w:numId w:val="37"/>
        </w:numPr>
        <w:jc w:val="center"/>
        <w:rPr>
          <w:bCs/>
          <w:lang w:val="en-US"/>
        </w:rPr>
      </w:pPr>
      <w:r>
        <w:rPr>
          <w:bCs/>
          <w:lang w:val="en-US"/>
        </w:rPr>
        <w:t>CFO = 15000, STO = 0</w:t>
      </w:r>
    </w:p>
    <w:p w14:paraId="6F8DE8DD" w14:textId="77777777" w:rsidR="00DC5C1B" w:rsidRPr="00B23A89" w:rsidRDefault="00DC5C1B" w:rsidP="00EE437E">
      <w:pPr>
        <w:ind w:left="360"/>
        <w:rPr>
          <w:bCs/>
          <w:lang w:val="en-US"/>
        </w:rPr>
      </w:pPr>
    </w:p>
    <w:p w14:paraId="7083656F" w14:textId="0222BE3F" w:rsidR="00B23A89" w:rsidRPr="00B23A89" w:rsidRDefault="00B23A89" w:rsidP="00EE437E">
      <w:pPr>
        <w:ind w:left="360"/>
        <w:jc w:val="center"/>
        <w:rPr>
          <w:bCs/>
          <w:lang w:val="en-US"/>
        </w:rPr>
      </w:pPr>
      <w:r>
        <w:rPr>
          <w:noProof/>
          <w:lang w:val="en-US"/>
        </w:rPr>
        <w:drawing>
          <wp:inline distT="0" distB="0" distL="0" distR="0" wp14:anchorId="681F36D7" wp14:editId="1087B725">
            <wp:extent cx="4556675" cy="2366293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557" cy="2377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E8B73" w14:textId="5813C2CA" w:rsidR="00B23A89" w:rsidRPr="00B23A89" w:rsidRDefault="00B23A89" w:rsidP="00B23A89">
      <w:pPr>
        <w:pStyle w:val="ListParagraph"/>
        <w:numPr>
          <w:ilvl w:val="0"/>
          <w:numId w:val="37"/>
        </w:numPr>
        <w:jc w:val="center"/>
        <w:rPr>
          <w:bCs/>
          <w:lang w:val="en-US"/>
        </w:rPr>
      </w:pPr>
      <w:r>
        <w:rPr>
          <w:bCs/>
          <w:lang w:val="en-US"/>
        </w:rPr>
        <w:lastRenderedPageBreak/>
        <w:t>CFO =0, STO =2048</w:t>
      </w:r>
    </w:p>
    <w:p w14:paraId="16A4D4C1" w14:textId="2178E27E" w:rsidR="00EE1E10" w:rsidRDefault="00EE1E10" w:rsidP="00EE437E">
      <w:pPr>
        <w:pStyle w:val="ListParagraph"/>
        <w:jc w:val="center"/>
        <w:rPr>
          <w:bCs/>
          <w:lang w:val="en-US"/>
        </w:rPr>
      </w:pPr>
      <w:r>
        <w:rPr>
          <w:bCs/>
          <w:noProof/>
          <w:lang w:val="en-US"/>
        </w:rPr>
        <w:drawing>
          <wp:inline distT="0" distB="0" distL="0" distR="0" wp14:anchorId="08E50206" wp14:editId="2C47F736">
            <wp:extent cx="4806986" cy="2531673"/>
            <wp:effectExtent l="0" t="0" r="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717" cy="2539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ADE87" w14:textId="01581467" w:rsidR="00EA1CAF" w:rsidRDefault="00EE1E10" w:rsidP="00EA1CAF">
      <w:pPr>
        <w:pStyle w:val="ListParagraph"/>
        <w:numPr>
          <w:ilvl w:val="0"/>
          <w:numId w:val="37"/>
        </w:numPr>
        <w:jc w:val="center"/>
        <w:rPr>
          <w:bCs/>
          <w:lang w:val="en-US"/>
        </w:rPr>
      </w:pPr>
      <w:r>
        <w:rPr>
          <w:bCs/>
          <w:lang w:val="en-US"/>
        </w:rPr>
        <w:t xml:space="preserve">CFO = 1200, STO = </w:t>
      </w:r>
      <w:r w:rsidR="00DE1910">
        <w:rPr>
          <w:bCs/>
          <w:lang w:val="en-US"/>
        </w:rPr>
        <w:t>2048</w:t>
      </w:r>
    </w:p>
    <w:p w14:paraId="0633FBAD" w14:textId="77777777" w:rsidR="00B23A89" w:rsidRDefault="00B23A89" w:rsidP="00B23A89">
      <w:pPr>
        <w:pStyle w:val="ListParagraph"/>
        <w:rPr>
          <w:bCs/>
          <w:lang w:val="en-US"/>
        </w:rPr>
      </w:pPr>
      <w:r>
        <w:rPr>
          <w:bCs/>
          <w:noProof/>
          <w:lang w:val="en-US"/>
        </w:rPr>
        <w:drawing>
          <wp:inline distT="0" distB="0" distL="0" distR="0" wp14:anchorId="3AD1F45D" wp14:editId="23986E9A">
            <wp:extent cx="5432914" cy="30022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455" cy="3015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AE222" w14:textId="77777777" w:rsidR="00B23A89" w:rsidRDefault="00B23A89" w:rsidP="00B23A89">
      <w:pPr>
        <w:pStyle w:val="ListParagraph"/>
        <w:numPr>
          <w:ilvl w:val="0"/>
          <w:numId w:val="37"/>
        </w:numPr>
        <w:jc w:val="center"/>
        <w:rPr>
          <w:bCs/>
          <w:lang w:val="en-US"/>
        </w:rPr>
      </w:pPr>
      <w:r>
        <w:rPr>
          <w:bCs/>
          <w:lang w:val="en-US"/>
        </w:rPr>
        <w:t>CFO = 15000, STO = 2048</w:t>
      </w:r>
    </w:p>
    <w:p w14:paraId="6FE4B23A" w14:textId="5135500B" w:rsidR="00F46A11" w:rsidRDefault="00F46A11" w:rsidP="00932D17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 xml:space="preserve">Observation </w:t>
      </w:r>
      <w:r w:rsidR="005E14CE" w:rsidRPr="00EE437E">
        <w:rPr>
          <w:b/>
          <w:u w:val="single"/>
          <w:lang w:val="en-US"/>
        </w:rPr>
        <w:t>2</w:t>
      </w:r>
      <w:r w:rsidRPr="00C46856">
        <w:rPr>
          <w:b/>
          <w:lang w:val="en-US"/>
        </w:rPr>
        <w:t>: The maximum frequency offset could be 1.2kHz for FR1 and 10.52kHz for FR2-1</w:t>
      </w:r>
      <w:r w:rsidR="00683D3D">
        <w:rPr>
          <w:b/>
          <w:lang w:val="en-US"/>
        </w:rPr>
        <w:t xml:space="preserve">, </w:t>
      </w:r>
      <w:r w:rsidR="009658EC">
        <w:rPr>
          <w:b/>
          <w:lang w:val="en-US"/>
        </w:rPr>
        <w:t>plus</w:t>
      </w:r>
      <w:r w:rsidR="00683D3D">
        <w:rPr>
          <w:b/>
          <w:lang w:val="en-US"/>
        </w:rPr>
        <w:t xml:space="preserve"> </w:t>
      </w:r>
      <w:r w:rsidR="009658EC">
        <w:rPr>
          <w:b/>
          <w:lang w:val="en-US"/>
        </w:rPr>
        <w:t>any</w:t>
      </w:r>
      <w:r w:rsidR="00683D3D">
        <w:rPr>
          <w:b/>
          <w:lang w:val="en-US"/>
        </w:rPr>
        <w:t xml:space="preserve"> doppler due to mobility</w:t>
      </w:r>
      <w:r w:rsidRPr="00C46856">
        <w:rPr>
          <w:b/>
          <w:lang w:val="en-US"/>
        </w:rPr>
        <w:t>.</w:t>
      </w:r>
    </w:p>
    <w:p w14:paraId="41DFA9B4" w14:textId="1463279E" w:rsidR="00A463DB" w:rsidRDefault="00A463DB" w:rsidP="00932D17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 xml:space="preserve">Observation </w:t>
      </w:r>
      <w:r w:rsidR="005E14CE" w:rsidRPr="00EE437E">
        <w:rPr>
          <w:b/>
          <w:u w:val="single"/>
          <w:lang w:val="en-US"/>
        </w:rPr>
        <w:t>3</w:t>
      </w:r>
      <w:r w:rsidRPr="00675FFB">
        <w:rPr>
          <w:b/>
          <w:lang w:val="en-US"/>
        </w:rPr>
        <w:t xml:space="preserve">: </w:t>
      </w:r>
      <w:r w:rsidR="00485FFD" w:rsidRPr="00675FFB">
        <w:rPr>
          <w:b/>
          <w:lang w:val="en-US"/>
        </w:rPr>
        <w:t>T</w:t>
      </w:r>
      <w:r w:rsidR="00AD65BD" w:rsidRPr="00675FFB">
        <w:rPr>
          <w:b/>
          <w:lang w:val="en-US"/>
        </w:rPr>
        <w:t>iming mismatch</w:t>
      </w:r>
      <w:r w:rsidR="00485FFD" w:rsidRPr="00675FFB">
        <w:rPr>
          <w:b/>
          <w:lang w:val="en-US"/>
        </w:rPr>
        <w:t xml:space="preserve"> </w:t>
      </w:r>
      <w:r w:rsidR="00675FFB" w:rsidRPr="00675FFB">
        <w:rPr>
          <w:b/>
          <w:lang w:val="en-US"/>
        </w:rPr>
        <w:t>will depend on the fixed offset between UL and DL (as defined in TS 38.</w:t>
      </w:r>
      <w:r w:rsidR="00FB1FC9">
        <w:rPr>
          <w:b/>
          <w:lang w:val="en-US"/>
        </w:rPr>
        <w:t>133</w:t>
      </w:r>
      <w:r w:rsidR="00675FFB" w:rsidRPr="00675FFB">
        <w:rPr>
          <w:b/>
          <w:lang w:val="en-US"/>
        </w:rPr>
        <w:t xml:space="preserve">) </w:t>
      </w:r>
      <w:proofErr w:type="gramStart"/>
      <w:r w:rsidR="00675FFB" w:rsidRPr="00675FFB">
        <w:rPr>
          <w:b/>
          <w:lang w:val="en-US"/>
        </w:rPr>
        <w:t>and also</w:t>
      </w:r>
      <w:proofErr w:type="gramEnd"/>
      <w:r w:rsidR="00675FFB" w:rsidRPr="00675FFB">
        <w:rPr>
          <w:b/>
          <w:lang w:val="en-US"/>
        </w:rPr>
        <w:t xml:space="preserve"> the timing advance applied by the transmitting UE</w:t>
      </w:r>
      <w:r w:rsidR="00257452" w:rsidRPr="00675FFB">
        <w:rPr>
          <w:b/>
          <w:lang w:val="en-US"/>
        </w:rPr>
        <w:t>.</w:t>
      </w:r>
    </w:p>
    <w:p w14:paraId="384C52C7" w14:textId="44AF39F3" w:rsidR="009658EC" w:rsidRDefault="009658EC" w:rsidP="00932D17">
      <w:pPr>
        <w:jc w:val="both"/>
        <w:rPr>
          <w:bCs/>
          <w:lang w:val="en-US"/>
        </w:rPr>
      </w:pPr>
      <w:r w:rsidRPr="00EE437E">
        <w:rPr>
          <w:b/>
          <w:u w:val="single"/>
          <w:lang w:val="en-US"/>
        </w:rPr>
        <w:t xml:space="preserve">Observation </w:t>
      </w:r>
      <w:r w:rsidR="005E14CE" w:rsidRPr="00EE437E">
        <w:rPr>
          <w:b/>
          <w:u w:val="single"/>
          <w:lang w:val="en-US"/>
        </w:rPr>
        <w:t>4</w:t>
      </w:r>
      <w:r w:rsidRPr="009658EC">
        <w:rPr>
          <w:b/>
          <w:lang w:val="en-US"/>
        </w:rPr>
        <w:t xml:space="preserve">: the STO has largest impact compared to the </w:t>
      </w:r>
      <w:r>
        <w:rPr>
          <w:b/>
          <w:lang w:val="en-US"/>
        </w:rPr>
        <w:t>“</w:t>
      </w:r>
      <w:r w:rsidRPr="009658EC">
        <w:rPr>
          <w:b/>
          <w:lang w:val="en-US"/>
        </w:rPr>
        <w:t>relevant</w:t>
      </w:r>
      <w:r>
        <w:rPr>
          <w:b/>
          <w:lang w:val="en-US"/>
        </w:rPr>
        <w:t>”</w:t>
      </w:r>
      <w:r w:rsidRPr="009658EC">
        <w:rPr>
          <w:b/>
          <w:lang w:val="en-US"/>
        </w:rPr>
        <w:t xml:space="preserve"> CFO levels.</w:t>
      </w:r>
      <w:r>
        <w:rPr>
          <w:bCs/>
          <w:lang w:val="en-US"/>
        </w:rPr>
        <w:t xml:space="preserve"> </w:t>
      </w:r>
    </w:p>
    <w:p w14:paraId="657CF9A4" w14:textId="557D309A" w:rsidR="009658EC" w:rsidRDefault="009658EC" w:rsidP="00932D17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 xml:space="preserve">Observation </w:t>
      </w:r>
      <w:r w:rsidR="005E14CE" w:rsidRPr="00EE437E">
        <w:rPr>
          <w:b/>
          <w:u w:val="single"/>
          <w:lang w:val="en-US"/>
        </w:rPr>
        <w:t>5</w:t>
      </w:r>
      <w:r w:rsidRPr="009658EC">
        <w:rPr>
          <w:b/>
          <w:lang w:val="en-US"/>
        </w:rPr>
        <w:t xml:space="preserve">: </w:t>
      </w:r>
      <w:r w:rsidR="00472A3D">
        <w:rPr>
          <w:b/>
          <w:lang w:val="en-US"/>
        </w:rPr>
        <w:t xml:space="preserve">IBE should largely dominate over FFT </w:t>
      </w:r>
      <w:r w:rsidR="00C16715">
        <w:rPr>
          <w:b/>
          <w:lang w:val="en-US"/>
        </w:rPr>
        <w:t>leakage</w:t>
      </w:r>
      <w:r w:rsidR="00472A3D">
        <w:rPr>
          <w:b/>
          <w:lang w:val="en-US"/>
        </w:rPr>
        <w:t xml:space="preserve">, with some </w:t>
      </w:r>
      <w:proofErr w:type="spellStart"/>
      <w:r w:rsidR="00472A3D">
        <w:rPr>
          <w:b/>
          <w:lang w:val="en-US"/>
        </w:rPr>
        <w:t>guardband</w:t>
      </w:r>
      <w:proofErr w:type="spellEnd"/>
      <w:r w:rsidR="00472A3D">
        <w:rPr>
          <w:b/>
          <w:lang w:val="en-US"/>
        </w:rPr>
        <w:t xml:space="preserve"> required, 1 RB if assuming 3GPP IBE QPSK requirements and a larger </w:t>
      </w:r>
      <w:proofErr w:type="spellStart"/>
      <w:r w:rsidR="00472A3D">
        <w:rPr>
          <w:b/>
          <w:lang w:val="en-US"/>
        </w:rPr>
        <w:t>guardband</w:t>
      </w:r>
      <w:proofErr w:type="spellEnd"/>
      <w:r w:rsidR="00472A3D">
        <w:rPr>
          <w:b/>
          <w:lang w:val="en-US"/>
        </w:rPr>
        <w:t xml:space="preserve"> for other modulation schemes. </w:t>
      </w:r>
      <w:r w:rsidR="00C16715">
        <w:rPr>
          <w:b/>
          <w:lang w:val="en-US"/>
        </w:rPr>
        <w:t>A real UE may or may not have improved IBE relative to the 3GPP specification</w:t>
      </w:r>
      <w:r w:rsidR="00472A3D">
        <w:rPr>
          <w:b/>
          <w:lang w:val="en-US"/>
        </w:rPr>
        <w:t xml:space="preserve">. </w:t>
      </w:r>
    </w:p>
    <w:p w14:paraId="519447FC" w14:textId="0FB392AB" w:rsidR="005076AC" w:rsidRPr="005076AC" w:rsidRDefault="005076AC" w:rsidP="00932D17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>Proposal 1</w:t>
      </w:r>
      <w:r w:rsidRPr="005076AC">
        <w:rPr>
          <w:b/>
          <w:lang w:val="en-US"/>
        </w:rPr>
        <w:t xml:space="preserve">: </w:t>
      </w:r>
      <w:r>
        <w:rPr>
          <w:b/>
          <w:lang w:val="en-US"/>
        </w:rPr>
        <w:t xml:space="preserve">Inform RAN1 that the agreed IBE model </w:t>
      </w:r>
      <w:proofErr w:type="gramStart"/>
      <w:r>
        <w:rPr>
          <w:b/>
          <w:lang w:val="en-US"/>
        </w:rPr>
        <w:t>actually dominates</w:t>
      </w:r>
      <w:proofErr w:type="gramEnd"/>
      <w:r>
        <w:rPr>
          <w:b/>
          <w:lang w:val="en-US"/>
        </w:rPr>
        <w:t xml:space="preserve"> with respect to “selectivity due to FFT rejection”</w:t>
      </w:r>
      <w:r w:rsidR="004F7535">
        <w:rPr>
          <w:b/>
          <w:lang w:val="en-US"/>
        </w:rPr>
        <w:t xml:space="preserve">, assuming some </w:t>
      </w:r>
      <w:proofErr w:type="spellStart"/>
      <w:r w:rsidR="004F7535">
        <w:rPr>
          <w:b/>
          <w:lang w:val="en-US"/>
        </w:rPr>
        <w:t>guardband</w:t>
      </w:r>
      <w:proofErr w:type="spellEnd"/>
      <w:r w:rsidR="004F7535">
        <w:rPr>
          <w:b/>
          <w:lang w:val="en-US"/>
        </w:rPr>
        <w:t xml:space="preserve"> depending on the modulation scheme and possibly UE implementation</w:t>
      </w:r>
      <w:r w:rsidRPr="005076AC">
        <w:rPr>
          <w:b/>
          <w:lang w:val="en-US"/>
        </w:rPr>
        <w:t>.</w:t>
      </w:r>
    </w:p>
    <w:p w14:paraId="537019C5" w14:textId="2B136E63" w:rsidR="005E14CE" w:rsidRPr="00162A02" w:rsidRDefault="005E14CE" w:rsidP="005E14CE">
      <w:pPr>
        <w:pStyle w:val="Heading2"/>
      </w:pPr>
      <w:r>
        <w:lastRenderedPageBreak/>
        <w:t>2.2 AGC modelling</w:t>
      </w:r>
    </w:p>
    <w:p w14:paraId="670B6257" w14:textId="16BE11BD" w:rsidR="005941FF" w:rsidRDefault="00FE3475" w:rsidP="00FE3475">
      <w:pPr>
        <w:jc w:val="both"/>
        <w:rPr>
          <w:bCs/>
          <w:lang w:val="en-US"/>
        </w:rPr>
      </w:pPr>
      <w:r>
        <w:rPr>
          <w:bCs/>
          <w:lang w:val="en-US"/>
        </w:rPr>
        <w:t xml:space="preserve">For </w:t>
      </w:r>
      <w:r w:rsidR="005941FF">
        <w:rPr>
          <w:bCs/>
          <w:lang w:val="en-US"/>
        </w:rPr>
        <w:t xml:space="preserve">UE </w:t>
      </w:r>
      <w:r>
        <w:rPr>
          <w:bCs/>
          <w:lang w:val="en-US"/>
        </w:rPr>
        <w:t xml:space="preserve">AGC </w:t>
      </w:r>
      <w:r w:rsidR="009F066E">
        <w:rPr>
          <w:bCs/>
          <w:lang w:val="en-US"/>
        </w:rPr>
        <w:t>modelling</w:t>
      </w:r>
      <w:r>
        <w:rPr>
          <w:bCs/>
          <w:lang w:val="en-US"/>
        </w:rPr>
        <w:t xml:space="preserve">, </w:t>
      </w:r>
      <w:r w:rsidR="009F066E">
        <w:rPr>
          <w:bCs/>
          <w:lang w:val="en-US"/>
        </w:rPr>
        <w:t>in previous meetings there has been a proposal to use a model</w:t>
      </w:r>
      <w:r w:rsidR="005941FF">
        <w:rPr>
          <w:bCs/>
          <w:lang w:val="en-US"/>
        </w:rPr>
        <w:t xml:space="preserve"> with a maximum </w:t>
      </w:r>
      <w:r w:rsidR="005E14CE">
        <w:rPr>
          <w:bCs/>
          <w:lang w:val="en-US"/>
        </w:rPr>
        <w:t>capped</w:t>
      </w:r>
      <w:r w:rsidR="005941FF">
        <w:rPr>
          <w:bCs/>
          <w:lang w:val="en-US"/>
        </w:rPr>
        <w:t xml:space="preserve"> SNR</w:t>
      </w:r>
      <w:r w:rsidR="009F066E">
        <w:rPr>
          <w:bCs/>
          <w:lang w:val="en-US"/>
        </w:rPr>
        <w:t xml:space="preserve">, and then during the RAN4#105 meeting it was questioned whether we could just apply </w:t>
      </w:r>
      <w:r>
        <w:rPr>
          <w:bCs/>
          <w:lang w:val="en-US"/>
        </w:rPr>
        <w:t>a simplified model</w:t>
      </w:r>
      <w:r w:rsidR="009F066E">
        <w:rPr>
          <w:bCs/>
          <w:lang w:val="en-US"/>
        </w:rPr>
        <w:t xml:space="preserve"> instead</w:t>
      </w:r>
      <w:r>
        <w:rPr>
          <w:bCs/>
          <w:lang w:val="en-US"/>
        </w:rPr>
        <w:t xml:space="preserve">, </w:t>
      </w:r>
      <w:proofErr w:type="gramStart"/>
      <w:r>
        <w:rPr>
          <w:bCs/>
          <w:lang w:val="en-US"/>
        </w:rPr>
        <w:t>i.e.</w:t>
      </w:r>
      <w:proofErr w:type="gramEnd"/>
      <w:r w:rsidR="009F066E">
        <w:rPr>
          <w:bCs/>
          <w:lang w:val="en-US"/>
        </w:rPr>
        <w:t xml:space="preserve"> with </w:t>
      </w:r>
      <w:r>
        <w:rPr>
          <w:bCs/>
          <w:lang w:val="en-US"/>
        </w:rPr>
        <w:t>a fixed noise figure assumed</w:t>
      </w:r>
      <w:r w:rsidR="005941FF">
        <w:rPr>
          <w:bCs/>
          <w:lang w:val="en-US"/>
        </w:rPr>
        <w:t xml:space="preserve"> where SNR is able to continually increase with input power</w:t>
      </w:r>
      <w:r w:rsidR="005E14CE">
        <w:rPr>
          <w:bCs/>
          <w:lang w:val="en-US"/>
        </w:rPr>
        <w:t xml:space="preserve"> until the maximum input power level</w:t>
      </w:r>
      <w:r w:rsidR="009F066E">
        <w:rPr>
          <w:bCs/>
          <w:lang w:val="en-US"/>
        </w:rPr>
        <w:t xml:space="preserve">. </w:t>
      </w:r>
    </w:p>
    <w:p w14:paraId="6AB79B24" w14:textId="6BB4223F" w:rsidR="005941FF" w:rsidRDefault="005941FF" w:rsidP="00FE3475">
      <w:pPr>
        <w:jc w:val="both"/>
        <w:rPr>
          <w:bCs/>
          <w:lang w:val="en-US"/>
        </w:rPr>
      </w:pPr>
      <w:r>
        <w:rPr>
          <w:bCs/>
          <w:lang w:val="en-US"/>
        </w:rPr>
        <w:t>Below the maximum input level requirement, 3GPP does not define requirements related to AGC operation</w:t>
      </w:r>
      <w:r w:rsidR="00FE3475">
        <w:rPr>
          <w:bCs/>
          <w:lang w:val="en-US"/>
        </w:rPr>
        <w:t xml:space="preserve">, and of course </w:t>
      </w:r>
      <w:r>
        <w:rPr>
          <w:bCs/>
          <w:lang w:val="en-US"/>
        </w:rPr>
        <w:t xml:space="preserve">each </w:t>
      </w:r>
      <w:r w:rsidR="00FE3475">
        <w:rPr>
          <w:bCs/>
          <w:lang w:val="en-US"/>
        </w:rPr>
        <w:t xml:space="preserve">company may have its own UE receiver AGC design, where an SNR cap may exist below </w:t>
      </w:r>
      <w:r>
        <w:rPr>
          <w:bCs/>
          <w:lang w:val="en-US"/>
        </w:rPr>
        <w:t xml:space="preserve">the </w:t>
      </w:r>
      <w:r w:rsidR="00FE3475">
        <w:rPr>
          <w:bCs/>
          <w:lang w:val="en-US"/>
        </w:rPr>
        <w:t xml:space="preserve">maximum input </w:t>
      </w:r>
      <w:r>
        <w:rPr>
          <w:bCs/>
          <w:lang w:val="en-US"/>
        </w:rPr>
        <w:t xml:space="preserve">power </w:t>
      </w:r>
      <w:r w:rsidR="00FE3475">
        <w:rPr>
          <w:bCs/>
          <w:lang w:val="en-US"/>
        </w:rPr>
        <w:t>level</w:t>
      </w:r>
      <w:r>
        <w:rPr>
          <w:bCs/>
          <w:lang w:val="en-US"/>
        </w:rPr>
        <w:t xml:space="preserve"> due to increased noise</w:t>
      </w:r>
      <w:r w:rsidR="00FE3475">
        <w:rPr>
          <w:bCs/>
          <w:lang w:val="en-US"/>
        </w:rPr>
        <w:t xml:space="preserve">. </w:t>
      </w:r>
    </w:p>
    <w:p w14:paraId="15B88C3E" w14:textId="6FD85838" w:rsidR="005941FF" w:rsidRDefault="005941FF" w:rsidP="00FE3475">
      <w:pPr>
        <w:jc w:val="both"/>
        <w:rPr>
          <w:bCs/>
          <w:lang w:val="en-US"/>
        </w:rPr>
      </w:pPr>
      <w:r>
        <w:rPr>
          <w:bCs/>
          <w:lang w:val="en-US"/>
        </w:rPr>
        <w:t>After some consideration, for the purposes of system level simulation, we believe that</w:t>
      </w:r>
      <w:r w:rsidR="00FE3475">
        <w:rPr>
          <w:bCs/>
          <w:lang w:val="en-US"/>
        </w:rPr>
        <w:t xml:space="preserve"> the fixed noise figure model </w:t>
      </w:r>
      <w:r>
        <w:rPr>
          <w:bCs/>
          <w:lang w:val="en-US"/>
        </w:rPr>
        <w:t xml:space="preserve">is appropriate. </w:t>
      </w:r>
    </w:p>
    <w:p w14:paraId="02DEEA2B" w14:textId="4F9A23C8" w:rsidR="00FE3475" w:rsidRDefault="005941FF" w:rsidP="00FE3475">
      <w:pPr>
        <w:jc w:val="both"/>
        <w:rPr>
          <w:bCs/>
          <w:lang w:val="en-US"/>
        </w:rPr>
      </w:pPr>
      <w:r>
        <w:rPr>
          <w:bCs/>
          <w:lang w:val="en-US"/>
        </w:rPr>
        <w:t xml:space="preserve">However, we would like to reiterate that </w:t>
      </w:r>
      <w:r w:rsidR="005E14CE">
        <w:rPr>
          <w:bCs/>
          <w:lang w:val="en-US"/>
        </w:rPr>
        <w:t xml:space="preserve">this type of simplified modelling </w:t>
      </w:r>
      <w:r>
        <w:rPr>
          <w:bCs/>
          <w:lang w:val="en-US"/>
        </w:rPr>
        <w:t xml:space="preserve">does </w:t>
      </w:r>
      <w:r w:rsidR="005E14CE">
        <w:rPr>
          <w:bCs/>
          <w:lang w:val="en-US"/>
        </w:rPr>
        <w:t>NOT</w:t>
      </w:r>
      <w:r>
        <w:rPr>
          <w:bCs/>
          <w:lang w:val="en-US"/>
        </w:rPr>
        <w:t xml:space="preserve"> necessarily reflect the Rx </w:t>
      </w:r>
      <w:proofErr w:type="spellStart"/>
      <w:r>
        <w:rPr>
          <w:bCs/>
          <w:lang w:val="en-US"/>
        </w:rPr>
        <w:t>behaviour</w:t>
      </w:r>
      <w:proofErr w:type="spellEnd"/>
      <w:r>
        <w:rPr>
          <w:bCs/>
          <w:lang w:val="en-US"/>
        </w:rPr>
        <w:t xml:space="preserve"> of a real UE</w:t>
      </w:r>
      <w:r w:rsidR="00FE3475">
        <w:rPr>
          <w:bCs/>
          <w:lang w:val="en-US"/>
        </w:rPr>
        <w:t xml:space="preserve">, </w:t>
      </w:r>
      <w:r>
        <w:rPr>
          <w:bCs/>
          <w:lang w:val="en-US"/>
        </w:rPr>
        <w:t xml:space="preserve">and therefore could not be used as a reference model for any potential UE RF requirements definition in relation to SBFD or any other type of </w:t>
      </w:r>
      <w:r w:rsidR="005E14CE">
        <w:rPr>
          <w:bCs/>
          <w:lang w:val="en-US"/>
        </w:rPr>
        <w:t xml:space="preserve">Rx </w:t>
      </w:r>
      <w:r>
        <w:rPr>
          <w:bCs/>
          <w:lang w:val="en-US"/>
        </w:rPr>
        <w:t>operation</w:t>
      </w:r>
      <w:r w:rsidR="00FE3475">
        <w:rPr>
          <w:bCs/>
          <w:lang w:val="en-US"/>
        </w:rPr>
        <w:t>.</w:t>
      </w:r>
    </w:p>
    <w:p w14:paraId="1219CD1F" w14:textId="4AFFFFE4" w:rsidR="00FE3475" w:rsidRDefault="00FE3475" w:rsidP="00932D17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 xml:space="preserve">Proposal </w:t>
      </w:r>
      <w:r w:rsidR="005076AC" w:rsidRPr="00EE437E">
        <w:rPr>
          <w:b/>
          <w:u w:val="single"/>
          <w:lang w:val="en-US"/>
        </w:rPr>
        <w:t>2</w:t>
      </w:r>
      <w:r w:rsidRPr="00FE3475">
        <w:rPr>
          <w:b/>
          <w:lang w:val="en-US"/>
        </w:rPr>
        <w:t xml:space="preserve">: Use the simplified AGC model with a fixed noise figure only for the </w:t>
      </w:r>
      <w:r w:rsidR="005941FF">
        <w:rPr>
          <w:b/>
          <w:lang w:val="en-US"/>
        </w:rPr>
        <w:t xml:space="preserve">purpose of </w:t>
      </w:r>
      <w:r w:rsidRPr="00FE3475">
        <w:rPr>
          <w:b/>
          <w:lang w:val="en-US"/>
        </w:rPr>
        <w:t>system level simulation</w:t>
      </w:r>
      <w:r w:rsidR="005941FF">
        <w:rPr>
          <w:b/>
          <w:lang w:val="en-US"/>
        </w:rPr>
        <w:t xml:space="preserve"> for SBFD. For any </w:t>
      </w:r>
      <w:r w:rsidR="005E14CE">
        <w:rPr>
          <w:b/>
          <w:lang w:val="en-US"/>
        </w:rPr>
        <w:t>other consideration</w:t>
      </w:r>
      <w:r w:rsidR="005941FF">
        <w:rPr>
          <w:b/>
          <w:lang w:val="en-US"/>
        </w:rPr>
        <w:t xml:space="preserve">, a more representative </w:t>
      </w:r>
      <w:r>
        <w:rPr>
          <w:b/>
          <w:lang w:val="en-US"/>
        </w:rPr>
        <w:t xml:space="preserve">AGC </w:t>
      </w:r>
      <w:r w:rsidRPr="00FE3475">
        <w:rPr>
          <w:b/>
          <w:lang w:val="en-US"/>
        </w:rPr>
        <w:t xml:space="preserve">modelling </w:t>
      </w:r>
      <w:r w:rsidR="005E14CE">
        <w:rPr>
          <w:b/>
          <w:lang w:val="en-US"/>
        </w:rPr>
        <w:t xml:space="preserve">corresponding to real implementation </w:t>
      </w:r>
      <w:r w:rsidR="005941FF">
        <w:rPr>
          <w:b/>
          <w:lang w:val="en-US"/>
        </w:rPr>
        <w:t>would need to be considered</w:t>
      </w:r>
      <w:r w:rsidRPr="00FE3475">
        <w:rPr>
          <w:b/>
          <w:lang w:val="en-US"/>
        </w:rPr>
        <w:t>.</w:t>
      </w:r>
    </w:p>
    <w:p w14:paraId="2B256FB2" w14:textId="5A08B5C1" w:rsidR="005076AC" w:rsidRDefault="005076AC" w:rsidP="005076AC">
      <w:pPr>
        <w:pStyle w:val="Heading2"/>
      </w:pPr>
      <w:r>
        <w:t>2.</w:t>
      </w:r>
      <w:r w:rsidR="007A2F6A">
        <w:t>3</w:t>
      </w:r>
      <w:r>
        <w:t xml:space="preserve"> Improving sub-band selectivity</w:t>
      </w:r>
    </w:p>
    <w:p w14:paraId="2A8AD54B" w14:textId="6B572D55" w:rsidR="005076AC" w:rsidRDefault="005076AC" w:rsidP="007A2F6A">
      <w:pPr>
        <w:rPr>
          <w:lang w:eastAsia="ja-JP"/>
        </w:rPr>
      </w:pPr>
      <w:r>
        <w:rPr>
          <w:lang w:eastAsia="ja-JP"/>
        </w:rPr>
        <w:t xml:space="preserve">It can be observed that the IBE </w:t>
      </w:r>
      <w:r w:rsidR="00C16715">
        <w:rPr>
          <w:lang w:eastAsia="ja-JP"/>
        </w:rPr>
        <w:t xml:space="preserve">(according to 3GPP specification) </w:t>
      </w:r>
      <w:r>
        <w:rPr>
          <w:lang w:eastAsia="ja-JP"/>
        </w:rPr>
        <w:t xml:space="preserve">is </w:t>
      </w:r>
      <w:proofErr w:type="gramStart"/>
      <w:r>
        <w:rPr>
          <w:lang w:eastAsia="ja-JP"/>
        </w:rPr>
        <w:t>actually dominating</w:t>
      </w:r>
      <w:proofErr w:type="gramEnd"/>
      <w:r>
        <w:rPr>
          <w:lang w:eastAsia="ja-JP"/>
        </w:rPr>
        <w:t xml:space="preserve"> over the FFT </w:t>
      </w:r>
      <w:r w:rsidR="00C16715">
        <w:rPr>
          <w:lang w:eastAsia="ja-JP"/>
        </w:rPr>
        <w:t>leakage</w:t>
      </w:r>
      <w:r>
        <w:rPr>
          <w:lang w:eastAsia="ja-JP"/>
        </w:rPr>
        <w:t xml:space="preserve"> level, so it seems unnecessary to consider any further selectivity improvements for sub-bands not equal to </w:t>
      </w:r>
      <w:r w:rsidR="00C16715">
        <w:rPr>
          <w:lang w:eastAsia="ja-JP"/>
        </w:rPr>
        <w:t>the UE</w:t>
      </w:r>
      <w:r>
        <w:rPr>
          <w:lang w:eastAsia="ja-JP"/>
        </w:rPr>
        <w:t xml:space="preserve"> channel BW, especially when considering the cost vs benefit trade-off.</w:t>
      </w:r>
    </w:p>
    <w:p w14:paraId="7187BE58" w14:textId="4405E42F" w:rsidR="007A2F6A" w:rsidRPr="007A2F6A" w:rsidRDefault="007A2F6A" w:rsidP="007A2F6A">
      <w:pPr>
        <w:rPr>
          <w:b/>
          <w:bCs/>
          <w:lang w:eastAsia="ja-JP"/>
        </w:rPr>
      </w:pPr>
      <w:r w:rsidRPr="00EE437E">
        <w:rPr>
          <w:b/>
          <w:bCs/>
          <w:u w:val="single"/>
          <w:lang w:eastAsia="ja-JP"/>
        </w:rPr>
        <w:t>Proposal 3</w:t>
      </w:r>
      <w:r w:rsidRPr="007A2F6A">
        <w:rPr>
          <w:b/>
          <w:bCs/>
          <w:lang w:eastAsia="ja-JP"/>
        </w:rPr>
        <w:t>: Do not consider improving selectivity requirements for Rx sub-bands.</w:t>
      </w: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79DBFD43" w:rsidR="003C0851" w:rsidRPr="00830B4C" w:rsidRDefault="008D0D1E" w:rsidP="003C0851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</w:t>
      </w:r>
      <w:r w:rsidR="0061046D">
        <w:rPr>
          <w:lang w:val="en-US" w:eastAsia="ja-JP"/>
        </w:rPr>
        <w:t>the following observations and proposals for</w:t>
      </w:r>
      <w:r w:rsidR="00F46A11">
        <w:rPr>
          <w:lang w:val="en-US" w:eastAsia="ja-JP"/>
        </w:rPr>
        <w:t xml:space="preserve"> UE aspects for SBFD</w:t>
      </w:r>
      <w:r w:rsidR="003C0851" w:rsidRPr="00C0585F">
        <w:rPr>
          <w:lang w:val="en-US"/>
        </w:rPr>
        <w:t>:</w:t>
      </w:r>
    </w:p>
    <w:p w14:paraId="3452FC85" w14:textId="1B31847B" w:rsidR="007A2F6A" w:rsidRPr="00C46856" w:rsidRDefault="007A2F6A" w:rsidP="007A2F6A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>Observation 1</w:t>
      </w:r>
      <w:r w:rsidRPr="00C46856">
        <w:rPr>
          <w:b/>
          <w:lang w:val="en-US"/>
        </w:rPr>
        <w:t xml:space="preserve">: </w:t>
      </w:r>
      <w:r>
        <w:rPr>
          <w:b/>
          <w:lang w:val="en-US"/>
        </w:rPr>
        <w:t>Realistic frequency and timing offsets need to be considered when analyzing the ability of FFT to perform rejection of interference</w:t>
      </w:r>
      <w:r w:rsidRPr="00C46856">
        <w:rPr>
          <w:b/>
          <w:lang w:val="en-US"/>
        </w:rPr>
        <w:t>.</w:t>
      </w:r>
    </w:p>
    <w:p w14:paraId="244A3194" w14:textId="77777777" w:rsidR="007A2F6A" w:rsidRDefault="007A2F6A" w:rsidP="007A2F6A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>Observation 2</w:t>
      </w:r>
      <w:r w:rsidRPr="00C46856">
        <w:rPr>
          <w:b/>
          <w:lang w:val="en-US"/>
        </w:rPr>
        <w:t>: The maximum frequency offset could be 1.2kHz for FR1 and 10.52kHz for FR2-1</w:t>
      </w:r>
      <w:r>
        <w:rPr>
          <w:b/>
          <w:lang w:val="en-US"/>
        </w:rPr>
        <w:t>, plus any doppler due to mobility</w:t>
      </w:r>
      <w:r w:rsidRPr="00C46856">
        <w:rPr>
          <w:b/>
          <w:lang w:val="en-US"/>
        </w:rPr>
        <w:t>.</w:t>
      </w:r>
    </w:p>
    <w:p w14:paraId="4D5CAFC7" w14:textId="59D1975D" w:rsidR="007A2F6A" w:rsidRDefault="007A2F6A" w:rsidP="007A2F6A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>Observation 3</w:t>
      </w:r>
      <w:r w:rsidRPr="00675FFB">
        <w:rPr>
          <w:b/>
          <w:lang w:val="en-US"/>
        </w:rPr>
        <w:t xml:space="preserve">: Timing mismatch will depend on the fixed </w:t>
      </w:r>
      <w:r>
        <w:rPr>
          <w:b/>
          <w:lang w:val="en-US"/>
        </w:rPr>
        <w:t xml:space="preserve">timing </w:t>
      </w:r>
      <w:r w:rsidRPr="00675FFB">
        <w:rPr>
          <w:b/>
          <w:lang w:val="en-US"/>
        </w:rPr>
        <w:t>offset between UL and DL (as defined in TS 38.</w:t>
      </w:r>
      <w:r w:rsidR="00FB1FC9">
        <w:rPr>
          <w:b/>
          <w:lang w:val="en-US"/>
        </w:rPr>
        <w:t>133</w:t>
      </w:r>
      <w:r w:rsidRPr="00675FFB">
        <w:rPr>
          <w:b/>
          <w:lang w:val="en-US"/>
        </w:rPr>
        <w:t xml:space="preserve">) </w:t>
      </w:r>
      <w:proofErr w:type="gramStart"/>
      <w:r w:rsidRPr="00675FFB">
        <w:rPr>
          <w:b/>
          <w:lang w:val="en-US"/>
        </w:rPr>
        <w:t>and also</w:t>
      </w:r>
      <w:proofErr w:type="gramEnd"/>
      <w:r w:rsidRPr="00675FFB">
        <w:rPr>
          <w:b/>
          <w:lang w:val="en-US"/>
        </w:rPr>
        <w:t xml:space="preserve"> the timing advance applied by the transmitting UE.</w:t>
      </w:r>
    </w:p>
    <w:p w14:paraId="77D03F8B" w14:textId="77777777" w:rsidR="007A2F6A" w:rsidRDefault="007A2F6A" w:rsidP="007A2F6A">
      <w:pPr>
        <w:jc w:val="both"/>
        <w:rPr>
          <w:bCs/>
          <w:lang w:val="en-US"/>
        </w:rPr>
      </w:pPr>
      <w:r w:rsidRPr="00EE437E">
        <w:rPr>
          <w:b/>
          <w:u w:val="single"/>
          <w:lang w:val="en-US"/>
        </w:rPr>
        <w:t>Observation 4</w:t>
      </w:r>
      <w:r w:rsidRPr="009658EC">
        <w:rPr>
          <w:b/>
          <w:lang w:val="en-US"/>
        </w:rPr>
        <w:t xml:space="preserve">: the STO has largest impact compared to the </w:t>
      </w:r>
      <w:r>
        <w:rPr>
          <w:b/>
          <w:lang w:val="en-US"/>
        </w:rPr>
        <w:t>“</w:t>
      </w:r>
      <w:r w:rsidRPr="009658EC">
        <w:rPr>
          <w:b/>
          <w:lang w:val="en-US"/>
        </w:rPr>
        <w:t>relevant</w:t>
      </w:r>
      <w:r>
        <w:rPr>
          <w:b/>
          <w:lang w:val="en-US"/>
        </w:rPr>
        <w:t>”</w:t>
      </w:r>
      <w:r w:rsidRPr="009658EC">
        <w:rPr>
          <w:b/>
          <w:lang w:val="en-US"/>
        </w:rPr>
        <w:t xml:space="preserve"> CFO levels.</w:t>
      </w:r>
      <w:r>
        <w:rPr>
          <w:bCs/>
          <w:lang w:val="en-US"/>
        </w:rPr>
        <w:t xml:space="preserve"> </w:t>
      </w:r>
    </w:p>
    <w:p w14:paraId="12E0F7E6" w14:textId="77777777" w:rsidR="00FD16D9" w:rsidRDefault="00FD16D9" w:rsidP="00FD16D9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>Observation 5</w:t>
      </w:r>
      <w:r w:rsidRPr="009658EC">
        <w:rPr>
          <w:b/>
          <w:lang w:val="en-US"/>
        </w:rPr>
        <w:t xml:space="preserve">: </w:t>
      </w:r>
      <w:r>
        <w:rPr>
          <w:b/>
          <w:lang w:val="en-US"/>
        </w:rPr>
        <w:t xml:space="preserve">IBE should largely dominate over FFT leakage, with some </w:t>
      </w:r>
      <w:proofErr w:type="spellStart"/>
      <w:r>
        <w:rPr>
          <w:b/>
          <w:lang w:val="en-US"/>
        </w:rPr>
        <w:t>guardband</w:t>
      </w:r>
      <w:proofErr w:type="spellEnd"/>
      <w:r>
        <w:rPr>
          <w:b/>
          <w:lang w:val="en-US"/>
        </w:rPr>
        <w:t xml:space="preserve"> required, 1 RB if assuming 3GPP IBE QPSK requirements and a larger </w:t>
      </w:r>
      <w:proofErr w:type="spellStart"/>
      <w:r>
        <w:rPr>
          <w:b/>
          <w:lang w:val="en-US"/>
        </w:rPr>
        <w:t>guardband</w:t>
      </w:r>
      <w:proofErr w:type="spellEnd"/>
      <w:r>
        <w:rPr>
          <w:b/>
          <w:lang w:val="en-US"/>
        </w:rPr>
        <w:t xml:space="preserve"> for other modulation schemes. A real UE may or may not have improved IBE relative to the 3GPP specification. </w:t>
      </w:r>
    </w:p>
    <w:p w14:paraId="5B92EC06" w14:textId="77777777" w:rsidR="00FD16D9" w:rsidRPr="005076AC" w:rsidRDefault="00FD16D9" w:rsidP="00FD16D9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t>Proposal 1</w:t>
      </w:r>
      <w:r w:rsidRPr="005076AC">
        <w:rPr>
          <w:b/>
          <w:lang w:val="en-US"/>
        </w:rPr>
        <w:t xml:space="preserve">: </w:t>
      </w:r>
      <w:r>
        <w:rPr>
          <w:b/>
          <w:lang w:val="en-US"/>
        </w:rPr>
        <w:t xml:space="preserve">Inform RAN1 that the agreed IBE model </w:t>
      </w:r>
      <w:proofErr w:type="gramStart"/>
      <w:r>
        <w:rPr>
          <w:b/>
          <w:lang w:val="en-US"/>
        </w:rPr>
        <w:t>actually dominates</w:t>
      </w:r>
      <w:proofErr w:type="gramEnd"/>
      <w:r>
        <w:rPr>
          <w:b/>
          <w:lang w:val="en-US"/>
        </w:rPr>
        <w:t xml:space="preserve"> with respect to “selectivity due to FFT rejection”, assuming some </w:t>
      </w:r>
      <w:proofErr w:type="spellStart"/>
      <w:r>
        <w:rPr>
          <w:b/>
          <w:lang w:val="en-US"/>
        </w:rPr>
        <w:t>guardband</w:t>
      </w:r>
      <w:proofErr w:type="spellEnd"/>
      <w:r>
        <w:rPr>
          <w:b/>
          <w:lang w:val="en-US"/>
        </w:rPr>
        <w:t xml:space="preserve"> depending on the modulation scheme and possibly UE implementation</w:t>
      </w:r>
      <w:r w:rsidRPr="005076AC">
        <w:rPr>
          <w:b/>
          <w:lang w:val="en-US"/>
        </w:rPr>
        <w:t>.</w:t>
      </w:r>
    </w:p>
    <w:p w14:paraId="15A82A5C" w14:textId="7D52000F" w:rsidR="007A2F6A" w:rsidRDefault="007A2F6A" w:rsidP="007A2F6A">
      <w:pPr>
        <w:jc w:val="both"/>
        <w:rPr>
          <w:b/>
          <w:lang w:val="en-US"/>
        </w:rPr>
      </w:pPr>
      <w:r w:rsidRPr="00EE437E">
        <w:rPr>
          <w:b/>
          <w:u w:val="single"/>
          <w:lang w:val="en-US"/>
        </w:rPr>
        <w:lastRenderedPageBreak/>
        <w:t>Proposal 2</w:t>
      </w:r>
      <w:r w:rsidRPr="00FE3475">
        <w:rPr>
          <w:b/>
          <w:lang w:val="en-US"/>
        </w:rPr>
        <w:t xml:space="preserve">: Use the simplified AGC model with a fixed noise figure only for the </w:t>
      </w:r>
      <w:r>
        <w:rPr>
          <w:b/>
          <w:lang w:val="en-US"/>
        </w:rPr>
        <w:t xml:space="preserve">purpose of </w:t>
      </w:r>
      <w:r w:rsidRPr="00FE3475">
        <w:rPr>
          <w:b/>
          <w:lang w:val="en-US"/>
        </w:rPr>
        <w:t>system level simulation</w:t>
      </w:r>
      <w:r>
        <w:rPr>
          <w:b/>
          <w:lang w:val="en-US"/>
        </w:rPr>
        <w:t xml:space="preserve"> for SBFD. For any other consideration, a more representative AGC </w:t>
      </w:r>
      <w:r w:rsidRPr="00FE3475">
        <w:rPr>
          <w:b/>
          <w:lang w:val="en-US"/>
        </w:rPr>
        <w:t xml:space="preserve">modelling </w:t>
      </w:r>
      <w:r>
        <w:rPr>
          <w:b/>
          <w:lang w:val="en-US"/>
        </w:rPr>
        <w:t>corresponding to real implementation would need to be considered</w:t>
      </w:r>
      <w:r w:rsidRPr="00FE3475">
        <w:rPr>
          <w:b/>
          <w:lang w:val="en-US"/>
        </w:rPr>
        <w:t>.</w:t>
      </w:r>
    </w:p>
    <w:p w14:paraId="0B9CB3BE" w14:textId="1919C4C4" w:rsidR="007A2F6A" w:rsidRPr="007A2F6A" w:rsidRDefault="007A2F6A" w:rsidP="007A2F6A">
      <w:pPr>
        <w:rPr>
          <w:b/>
          <w:bCs/>
          <w:lang w:eastAsia="ja-JP"/>
        </w:rPr>
      </w:pPr>
      <w:r w:rsidRPr="00EE437E">
        <w:rPr>
          <w:b/>
          <w:bCs/>
          <w:u w:val="single"/>
          <w:lang w:eastAsia="ja-JP"/>
        </w:rPr>
        <w:t>Proposal 3</w:t>
      </w:r>
      <w:r w:rsidRPr="007A2F6A">
        <w:rPr>
          <w:b/>
          <w:bCs/>
          <w:lang w:eastAsia="ja-JP"/>
        </w:rPr>
        <w:t>: Do not consider improving selectivity requirements for Rx sub-bands.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9727AFD" w14:textId="0BBBBD98" w:rsidR="001A6DCF" w:rsidRDefault="00571E78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3" w:name="OLE_LINK12"/>
      <w:bookmarkStart w:id="4" w:name="_Ref101774927"/>
      <w:r w:rsidRPr="00571E78">
        <w:rPr>
          <w:lang w:val="en-US"/>
        </w:rPr>
        <w:t>R4-2220245 WF for the feasibility from UE aspect, Qualcomm</w:t>
      </w:r>
    </w:p>
    <w:p w14:paraId="3C6539CD" w14:textId="561328C2" w:rsidR="00C46856" w:rsidRDefault="00C46856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TS 38.101-1</w:t>
      </w:r>
    </w:p>
    <w:p w14:paraId="380F7836" w14:textId="6FE27266" w:rsidR="00C46856" w:rsidRDefault="00C46856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TS 38.101-2</w:t>
      </w:r>
      <w:bookmarkEnd w:id="3"/>
      <w:bookmarkEnd w:id="4"/>
    </w:p>
    <w:sectPr w:rsidR="00C46856" w:rsidSect="006D575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0B0B2" w14:textId="77777777" w:rsidR="00087117" w:rsidRDefault="00087117">
      <w:pPr>
        <w:spacing w:after="0"/>
      </w:pPr>
      <w:r>
        <w:separator/>
      </w:r>
    </w:p>
  </w:endnote>
  <w:endnote w:type="continuationSeparator" w:id="0">
    <w:p w14:paraId="7D480276" w14:textId="77777777" w:rsidR="00087117" w:rsidRDefault="000871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49BA4" w14:textId="77777777" w:rsidR="00087117" w:rsidRDefault="00087117">
      <w:pPr>
        <w:spacing w:after="0"/>
      </w:pPr>
      <w:r>
        <w:separator/>
      </w:r>
    </w:p>
  </w:footnote>
  <w:footnote w:type="continuationSeparator" w:id="0">
    <w:p w14:paraId="706885D6" w14:textId="77777777" w:rsidR="00087117" w:rsidRDefault="000871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154A84"/>
    <w:multiLevelType w:val="hybridMultilevel"/>
    <w:tmpl w:val="E99CCE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1179C3"/>
    <w:multiLevelType w:val="hybridMultilevel"/>
    <w:tmpl w:val="E2E4E2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B52FE5"/>
    <w:multiLevelType w:val="hybridMultilevel"/>
    <w:tmpl w:val="62D619E6"/>
    <w:lvl w:ilvl="0" w:tplc="42C4BF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27327"/>
    <w:multiLevelType w:val="hybridMultilevel"/>
    <w:tmpl w:val="7D36102C"/>
    <w:lvl w:ilvl="0" w:tplc="0EDA02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9249E2"/>
    <w:multiLevelType w:val="hybridMultilevel"/>
    <w:tmpl w:val="38462F3E"/>
    <w:lvl w:ilvl="0" w:tplc="041D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7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21"/>
  </w:num>
  <w:num w:numId="8">
    <w:abstractNumId w:val="2"/>
  </w:num>
  <w:num w:numId="9">
    <w:abstractNumId w:val="21"/>
  </w:num>
  <w:num w:numId="10">
    <w:abstractNumId w:val="5"/>
  </w:num>
  <w:num w:numId="11">
    <w:abstractNumId w:val="21"/>
  </w:num>
  <w:num w:numId="12">
    <w:abstractNumId w:val="27"/>
  </w:num>
  <w:num w:numId="13">
    <w:abstractNumId w:val="7"/>
  </w:num>
  <w:num w:numId="14">
    <w:abstractNumId w:val="9"/>
  </w:num>
  <w:num w:numId="15">
    <w:abstractNumId w:val="25"/>
  </w:num>
  <w:num w:numId="16">
    <w:abstractNumId w:val="1"/>
  </w:num>
  <w:num w:numId="17">
    <w:abstractNumId w:val="13"/>
  </w:num>
  <w:num w:numId="18">
    <w:abstractNumId w:val="21"/>
  </w:num>
  <w:num w:numId="19">
    <w:abstractNumId w:val="10"/>
  </w:num>
  <w:num w:numId="20">
    <w:abstractNumId w:val="24"/>
  </w:num>
  <w:num w:numId="21">
    <w:abstractNumId w:val="20"/>
  </w:num>
  <w:num w:numId="22">
    <w:abstractNumId w:val="23"/>
  </w:num>
  <w:num w:numId="23">
    <w:abstractNumId w:val="21"/>
  </w:num>
  <w:num w:numId="24">
    <w:abstractNumId w:val="22"/>
  </w:num>
  <w:num w:numId="25">
    <w:abstractNumId w:val="14"/>
  </w:num>
  <w:num w:numId="26">
    <w:abstractNumId w:val="21"/>
  </w:num>
  <w:num w:numId="27">
    <w:abstractNumId w:val="22"/>
  </w:num>
  <w:num w:numId="28">
    <w:abstractNumId w:val="19"/>
  </w:num>
  <w:num w:numId="29">
    <w:abstractNumId w:val="16"/>
  </w:num>
  <w:num w:numId="30">
    <w:abstractNumId w:val="3"/>
  </w:num>
  <w:num w:numId="31">
    <w:abstractNumId w:val="15"/>
  </w:num>
  <w:num w:numId="32">
    <w:abstractNumId w:val="29"/>
  </w:num>
  <w:num w:numId="33">
    <w:abstractNumId w:val="8"/>
  </w:num>
  <w:num w:numId="34">
    <w:abstractNumId w:val="18"/>
  </w:num>
  <w:num w:numId="35">
    <w:abstractNumId w:val="4"/>
  </w:num>
  <w:num w:numId="36">
    <w:abstractNumId w:val="26"/>
  </w:num>
  <w:num w:numId="3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7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A81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660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117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4B46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6F1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069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8B5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10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39DC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694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3D5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B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52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63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13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031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089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C40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3D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5FD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A3D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581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5FFD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C9A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305E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2EE"/>
    <w:rsid w:val="004F2F31"/>
    <w:rsid w:val="004F33A9"/>
    <w:rsid w:val="004F360E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535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01C"/>
    <w:rsid w:val="005061F6"/>
    <w:rsid w:val="00506384"/>
    <w:rsid w:val="00506714"/>
    <w:rsid w:val="005071CC"/>
    <w:rsid w:val="005076A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659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957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78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1FF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4CE"/>
    <w:rsid w:val="005E167C"/>
    <w:rsid w:val="005E1D75"/>
    <w:rsid w:val="005E203B"/>
    <w:rsid w:val="005E2141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628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0DC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2FC3"/>
    <w:rsid w:val="00653112"/>
    <w:rsid w:val="0065339D"/>
    <w:rsid w:val="0065349A"/>
    <w:rsid w:val="00653642"/>
    <w:rsid w:val="00653BA8"/>
    <w:rsid w:val="0065429D"/>
    <w:rsid w:val="0065442D"/>
    <w:rsid w:val="00654536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5FFB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D3D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7C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2C0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9B6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178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2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2F6A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7DB"/>
    <w:rsid w:val="007C197C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72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A9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58EC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97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66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0C1C"/>
    <w:rsid w:val="00A01074"/>
    <w:rsid w:val="00A01700"/>
    <w:rsid w:val="00A01806"/>
    <w:rsid w:val="00A01A45"/>
    <w:rsid w:val="00A01AAC"/>
    <w:rsid w:val="00A035B4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539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461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3DB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AA1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1A1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5BD"/>
    <w:rsid w:val="00AD661C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6DE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6C21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3A89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461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90B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671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C6C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56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242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58AB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37FC3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0C20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C1B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910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3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1CAF"/>
    <w:rsid w:val="00EA20BE"/>
    <w:rsid w:val="00EA2D2A"/>
    <w:rsid w:val="00EA2F47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1E10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37E"/>
    <w:rsid w:val="00EE4BEB"/>
    <w:rsid w:val="00EE4CEE"/>
    <w:rsid w:val="00EE4F97"/>
    <w:rsid w:val="00EE54CF"/>
    <w:rsid w:val="00EE5AD7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2CE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58F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A11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54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87F"/>
    <w:rsid w:val="00FA7DE7"/>
    <w:rsid w:val="00FB0ABD"/>
    <w:rsid w:val="00FB13A6"/>
    <w:rsid w:val="00FB163F"/>
    <w:rsid w:val="00FB1FC9"/>
    <w:rsid w:val="00FB26C4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6D9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475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FC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B1F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1FC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5E14CE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1623</Words>
  <Characters>8504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2023-02-17T16:57:00Z</dcterms:created>
  <dcterms:modified xsi:type="dcterms:W3CDTF">2023-02-17T16:57:00Z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